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8E70E" w14:textId="77777777" w:rsidR="004C697E" w:rsidRPr="00BC1F21" w:rsidRDefault="004C697E" w:rsidP="004C697E">
      <w:pPr>
        <w:keepNext/>
        <w:spacing w:after="0" w:line="240" w:lineRule="auto"/>
        <w:ind w:left="720" w:hanging="360"/>
        <w:jc w:val="center"/>
        <w:outlineLvl w:val="0"/>
        <w:rPr>
          <w:rFonts w:ascii="Arial" w:eastAsia="Times New Roman" w:hAnsi="Arial" w:cs="Times New Roman"/>
          <w:b/>
          <w:sz w:val="24"/>
          <w:szCs w:val="20"/>
          <w:lang w:eastAsia="en-GB"/>
        </w:rPr>
      </w:pPr>
      <w:r>
        <w:rPr>
          <w:rFonts w:ascii="Arial" w:eastAsia="Times New Roman" w:hAnsi="Arial" w:cs="Times New Roman"/>
          <w:b/>
          <w:sz w:val="24"/>
          <w:szCs w:val="20"/>
          <w:lang w:eastAsia="en-GB"/>
        </w:rPr>
        <w:t>……….</w:t>
      </w:r>
      <w:r w:rsidRPr="00BC1F21">
        <w:rPr>
          <w:rFonts w:ascii="Arial" w:eastAsia="Times New Roman" w:hAnsi="Arial" w:cs="Times New Roman"/>
          <w:b/>
          <w:sz w:val="24"/>
          <w:szCs w:val="20"/>
          <w:lang w:eastAsia="en-GB"/>
        </w:rPr>
        <w:t xml:space="preserve"> DENTAL SURGERY LTD</w:t>
      </w:r>
      <w:r w:rsidRPr="00BC1F21">
        <w:rPr>
          <w:rFonts w:ascii="Arial" w:eastAsia="Times New Roman" w:hAnsi="Arial" w:cs="Times New Roman"/>
          <w:b/>
          <w:sz w:val="24"/>
          <w:szCs w:val="20"/>
          <w:lang w:eastAsia="en-GB"/>
        </w:rPr>
        <w:br/>
      </w:r>
      <w:r w:rsidRPr="00BC1F21">
        <w:rPr>
          <w:rFonts w:ascii="Arial" w:eastAsia="Times New Roman" w:hAnsi="Arial" w:cs="Times New Roman"/>
          <w:b/>
          <w:sz w:val="24"/>
          <w:szCs w:val="20"/>
          <w:lang w:eastAsia="en-GB"/>
        </w:rPr>
        <w:br/>
        <w:t xml:space="preserve">"WHISTLEBLOWING" POLICY </w:t>
      </w:r>
    </w:p>
    <w:p w14:paraId="36A4F7ED" w14:textId="77777777" w:rsidR="004C697E" w:rsidRPr="00BC1F21" w:rsidRDefault="004C697E" w:rsidP="004C697E">
      <w:pPr>
        <w:spacing w:after="0" w:line="240" w:lineRule="auto"/>
        <w:ind w:left="720" w:hanging="360"/>
        <w:jc w:val="center"/>
        <w:rPr>
          <w:rFonts w:ascii="Arial" w:eastAsia="Times New Roman" w:hAnsi="Arial" w:cs="Times New Roman"/>
          <w:b/>
          <w:sz w:val="20"/>
          <w:szCs w:val="20"/>
          <w:lang w:eastAsia="en-GB"/>
        </w:rPr>
      </w:pPr>
      <w:r w:rsidRPr="00BC1F21">
        <w:rPr>
          <w:rFonts w:ascii="Arial" w:eastAsia="Times New Roman" w:hAnsi="Arial" w:cs="Times New Roman"/>
          <w:sz w:val="20"/>
          <w:szCs w:val="20"/>
          <w:lang w:val="en" w:eastAsia="en-GB"/>
        </w:rPr>
        <w:t>(Making a Disclosure in the Public Interest)</w:t>
      </w:r>
    </w:p>
    <w:p w14:paraId="71C811E4" w14:textId="77777777" w:rsidR="004C697E" w:rsidRPr="00BC1F21" w:rsidRDefault="004C697E" w:rsidP="004C697E">
      <w:pPr>
        <w:spacing w:after="0" w:line="240" w:lineRule="auto"/>
        <w:ind w:left="720" w:hanging="360"/>
        <w:jc w:val="center"/>
        <w:rPr>
          <w:rFonts w:ascii="Arial" w:eastAsia="Times New Roman" w:hAnsi="Arial" w:cs="Times New Roman"/>
          <w:sz w:val="20"/>
          <w:szCs w:val="20"/>
          <w:lang w:eastAsia="en-GB"/>
        </w:rPr>
      </w:pPr>
    </w:p>
    <w:p w14:paraId="23634D05" w14:textId="77777777" w:rsidR="004C697E" w:rsidRPr="00BC1F21"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r w:rsidRPr="00BC1F21">
        <w:rPr>
          <w:rFonts w:ascii="Arial" w:eastAsia="Times New Roman" w:hAnsi="Arial" w:cs="Times New Roman"/>
          <w:b/>
          <w:sz w:val="20"/>
          <w:szCs w:val="20"/>
          <w:lang w:eastAsia="en-GB"/>
        </w:rPr>
        <w:t>Introduction</w:t>
      </w:r>
    </w:p>
    <w:p w14:paraId="338E6F97"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7A5BC539"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sdt>
        <w:sdtPr>
          <w:rPr>
            <w:rFonts w:ascii="Arial" w:eastAsia="Times New Roman" w:hAnsi="Arial" w:cs="Times New Roman"/>
            <w:sz w:val="20"/>
            <w:szCs w:val="20"/>
            <w:lang w:eastAsia="en-GB"/>
          </w:rPr>
          <w:alias w:val="Company"/>
          <w:tag w:val=""/>
          <w:id w:val="-979767517"/>
          <w:placeholder>
            <w:docPart w:val="5CB73C567BB24A9FACD9B0BE0A7001E8"/>
          </w:placeholder>
          <w:showingPlcHdr/>
          <w:dataBinding w:prefixMappings="xmlns:ns0='http://schemas.openxmlformats.org/officeDocument/2006/extended-properties' " w:xpath="/ns0:Properties[1]/ns0:Company[1]" w:storeItemID="{6668398D-A668-4E3E-A5EB-62B293D839F1}"/>
          <w:text/>
        </w:sdtPr>
        <w:sdtContent>
          <w:r w:rsidRPr="0082425A">
            <w:rPr>
              <w:rStyle w:val="PlaceholderText"/>
            </w:rPr>
            <w:t>[Company]</w:t>
          </w:r>
        </w:sdtContent>
      </w:sdt>
      <w:r w:rsidRPr="00BC1F21">
        <w:rPr>
          <w:rFonts w:ascii="Arial" w:eastAsia="Times New Roman" w:hAnsi="Arial" w:cs="Times New Roman"/>
          <w:sz w:val="20"/>
          <w:szCs w:val="20"/>
          <w:lang w:eastAsia="en-GB"/>
        </w:rPr>
        <w:t xml:space="preserve"> is committed to the highest standards of openness, probity and accountability. </w:t>
      </w:r>
      <w:r w:rsidRPr="00BC1F21">
        <w:rPr>
          <w:rFonts w:ascii="Arial" w:eastAsia="Times New Roman" w:hAnsi="Arial" w:cs="Times New Roman"/>
          <w:sz w:val="20"/>
          <w:szCs w:val="20"/>
          <w:lang w:eastAsia="en-GB"/>
        </w:rPr>
        <w:br/>
      </w:r>
      <w:r w:rsidRPr="00BC1F21">
        <w:rPr>
          <w:rFonts w:ascii="Arial" w:eastAsia="Times New Roman" w:hAnsi="Arial" w:cs="Times New Roman"/>
          <w:sz w:val="20"/>
          <w:szCs w:val="20"/>
          <w:lang w:eastAsia="en-GB"/>
        </w:rPr>
        <w:br/>
        <w:t>An important aspect of accountability and transparency is a mechanism to enable staff and other members of the Company to voice concerns in a responsible and effective manner. 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 doing within the organisation then this information should be disclosed internally without fear of reprisal, and there should be arrangements to enable this to be done. The point of contact for this is</w:t>
      </w:r>
      <w:r>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r w:rsidRPr="00BC1F21">
        <w:rPr>
          <w:rFonts w:ascii="Arial" w:eastAsia="Times New Roman" w:hAnsi="Arial" w:cs="Times New Roman"/>
          <w:sz w:val="20"/>
          <w:szCs w:val="20"/>
          <w:lang w:eastAsia="en-GB"/>
        </w:rPr>
        <w:t xml:space="preserve">. </w:t>
      </w:r>
    </w:p>
    <w:p w14:paraId="2DAA25F4"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737EBA0F"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Employees have legal protection against being dismissed or penalised by their employers </w:t>
      </w:r>
      <w:proofErr w:type="gramStart"/>
      <w:r w:rsidRPr="00BC1F21">
        <w:rPr>
          <w:rFonts w:ascii="Arial" w:eastAsia="Times New Roman" w:hAnsi="Arial" w:cs="Times New Roman"/>
          <w:sz w:val="20"/>
          <w:szCs w:val="20"/>
          <w:lang w:eastAsia="en-GB"/>
        </w:rPr>
        <w:t>as a</w:t>
      </w:r>
      <w:r>
        <w:rPr>
          <w:rFonts w:ascii="Arial" w:eastAsia="Times New Roman" w:hAnsi="Arial" w:cs="Times New Roman"/>
          <w:sz w:val="20"/>
          <w:szCs w:val="20"/>
          <w:lang w:eastAsia="en-GB"/>
        </w:rPr>
        <w:t xml:space="preserve"> </w:t>
      </w:r>
      <w:r w:rsidRPr="00BC1F21">
        <w:rPr>
          <w:rFonts w:ascii="Arial" w:eastAsia="Times New Roman" w:hAnsi="Arial" w:cs="Times New Roman"/>
          <w:sz w:val="20"/>
          <w:szCs w:val="20"/>
          <w:lang w:eastAsia="en-GB"/>
        </w:rPr>
        <w:t>result of</w:t>
      </w:r>
      <w:proofErr w:type="gramEnd"/>
      <w:r w:rsidRPr="00BC1F21">
        <w:rPr>
          <w:rFonts w:ascii="Arial" w:eastAsia="Times New Roman" w:hAnsi="Arial" w:cs="Times New Roman"/>
          <w:sz w:val="20"/>
          <w:szCs w:val="20"/>
          <w:lang w:eastAsia="en-GB"/>
        </w:rPr>
        <w:t xml:space="preserve"> publicly disclosing certain serious concerns. The Company has endorsed the provisions set out below to ensure that no members of staff should feel at a disadvantage in raising legitimate concerns.</w:t>
      </w:r>
    </w:p>
    <w:p w14:paraId="5FB4C908" w14:textId="77777777" w:rsidR="004C697E" w:rsidRPr="00BC1F21" w:rsidRDefault="004C697E" w:rsidP="004C697E">
      <w:pPr>
        <w:spacing w:after="0" w:line="240" w:lineRule="auto"/>
        <w:ind w:left="720" w:hanging="360"/>
        <w:contextualSpacing/>
        <w:jc w:val="both"/>
        <w:rPr>
          <w:rFonts w:ascii="Arial" w:eastAsia="Times New Roman" w:hAnsi="Arial" w:cs="Times New Roman"/>
          <w:sz w:val="20"/>
          <w:szCs w:val="20"/>
          <w:lang w:eastAsia="en-GB"/>
        </w:rPr>
      </w:pPr>
    </w:p>
    <w:p w14:paraId="35913437"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It should be emphasised that this policy is intended to assist individuals who believe they have discovered malpractice or impropriety. It is not designed to question financial or business decisions taken by the Company nor should it be used to reconsider any matters which have already been addressed under harassment, complaint, disciplinary or other procedures. </w:t>
      </w:r>
    </w:p>
    <w:p w14:paraId="1E8CE292"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1DDCC48C" w14:textId="77777777" w:rsidR="004C697E" w:rsidRPr="00BC1F21"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r w:rsidRPr="00BC1F21">
        <w:rPr>
          <w:rFonts w:ascii="Arial" w:eastAsia="Times New Roman" w:hAnsi="Arial" w:cs="Times New Roman"/>
          <w:b/>
          <w:sz w:val="20"/>
          <w:szCs w:val="20"/>
          <w:lang w:eastAsia="en-GB"/>
        </w:rPr>
        <w:t>Scope of Policy</w:t>
      </w:r>
    </w:p>
    <w:p w14:paraId="396CE99B"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224AA25F"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This policy is designed to enable employees of the Company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p>
    <w:p w14:paraId="2443DFCB"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5AED3AF2" w14:textId="77777777" w:rsidR="004C697E" w:rsidRPr="00BC1F21" w:rsidRDefault="004C697E" w:rsidP="004C697E">
      <w:pPr>
        <w:numPr>
          <w:ilvl w:val="0"/>
          <w:numId w:val="1"/>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Financial malpractice or impropriety or fraud </w:t>
      </w:r>
    </w:p>
    <w:p w14:paraId="59FB4BB3" w14:textId="77777777" w:rsidR="004C697E" w:rsidRPr="00BC1F21" w:rsidRDefault="004C697E" w:rsidP="004C697E">
      <w:pPr>
        <w:numPr>
          <w:ilvl w:val="0"/>
          <w:numId w:val="1"/>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Failure to comply with a legal obligation </w:t>
      </w:r>
    </w:p>
    <w:p w14:paraId="1894008D" w14:textId="77777777" w:rsidR="004C697E" w:rsidRPr="00BC1F21" w:rsidRDefault="004C697E" w:rsidP="004C697E">
      <w:pPr>
        <w:numPr>
          <w:ilvl w:val="0"/>
          <w:numId w:val="1"/>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Dangers to Health &amp; Safety or the environment </w:t>
      </w:r>
    </w:p>
    <w:p w14:paraId="00E5D1A1" w14:textId="77777777" w:rsidR="004C697E" w:rsidRPr="00BC1F21" w:rsidRDefault="004C697E" w:rsidP="004C697E">
      <w:pPr>
        <w:numPr>
          <w:ilvl w:val="0"/>
          <w:numId w:val="1"/>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Criminal activity </w:t>
      </w:r>
    </w:p>
    <w:p w14:paraId="0BA7CE01" w14:textId="77777777" w:rsidR="004C697E" w:rsidRPr="00BC1F21" w:rsidRDefault="004C697E" w:rsidP="004C697E">
      <w:pPr>
        <w:numPr>
          <w:ilvl w:val="0"/>
          <w:numId w:val="1"/>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Improper conduct or unethical behaviour </w:t>
      </w:r>
    </w:p>
    <w:p w14:paraId="3F96BEE7" w14:textId="77777777" w:rsidR="004C697E" w:rsidRPr="00BC1F21" w:rsidRDefault="004C697E" w:rsidP="004C697E">
      <w:pPr>
        <w:numPr>
          <w:ilvl w:val="0"/>
          <w:numId w:val="1"/>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Attempts to conceal any of these</w:t>
      </w:r>
    </w:p>
    <w:p w14:paraId="15266E4A" w14:textId="77777777" w:rsidR="004C697E" w:rsidRPr="00BC1F21" w:rsidRDefault="004C697E" w:rsidP="004C697E">
      <w:pPr>
        <w:spacing w:after="0" w:line="240" w:lineRule="auto"/>
        <w:ind w:left="360" w:hanging="360"/>
        <w:jc w:val="both"/>
        <w:rPr>
          <w:rFonts w:ascii="Arial" w:eastAsia="Times New Roman" w:hAnsi="Arial" w:cs="Times New Roman"/>
          <w:sz w:val="20"/>
          <w:szCs w:val="20"/>
          <w:lang w:eastAsia="en-GB"/>
        </w:rPr>
      </w:pPr>
    </w:p>
    <w:p w14:paraId="7E61B7E3" w14:textId="77777777" w:rsidR="004C697E" w:rsidRPr="00BC1F21"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r w:rsidRPr="00BC1F21">
        <w:rPr>
          <w:rFonts w:ascii="Arial" w:eastAsia="Times New Roman" w:hAnsi="Arial" w:cs="Times New Roman"/>
          <w:b/>
          <w:sz w:val="20"/>
          <w:szCs w:val="20"/>
          <w:lang w:eastAsia="en-GB"/>
        </w:rPr>
        <w:t>Safeguards</w:t>
      </w:r>
    </w:p>
    <w:p w14:paraId="05D889B6"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5F27C389"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b/>
          <w:sz w:val="20"/>
          <w:szCs w:val="20"/>
          <w:lang w:eastAsia="en-GB"/>
        </w:rPr>
        <w:t>Protection</w:t>
      </w:r>
      <w:r w:rsidRPr="00BC1F21">
        <w:rPr>
          <w:rFonts w:ascii="Arial" w:eastAsia="Times New Roman" w:hAnsi="Arial" w:cs="Times New Roman"/>
          <w:sz w:val="20"/>
          <w:szCs w:val="20"/>
          <w:lang w:eastAsia="en-GB"/>
        </w:rPr>
        <w:t xml:space="preserve"> - this policy is designed to offer protection to those employees of </w:t>
      </w:r>
      <w:sdt>
        <w:sdtPr>
          <w:rPr>
            <w:rFonts w:ascii="Arial" w:eastAsia="Times New Roman" w:hAnsi="Arial" w:cs="Times New Roman"/>
            <w:sz w:val="20"/>
            <w:szCs w:val="20"/>
            <w:lang w:eastAsia="en-GB"/>
          </w:rPr>
          <w:alias w:val="Company"/>
          <w:tag w:val=""/>
          <w:id w:val="340051903"/>
          <w:placeholder>
            <w:docPart w:val="FB51E8CEA56F4F4E9E7DF6FEC58360E3"/>
          </w:placeholder>
          <w:showingPlcHdr/>
          <w:dataBinding w:prefixMappings="xmlns:ns0='http://schemas.openxmlformats.org/officeDocument/2006/extended-properties' " w:xpath="/ns0:Properties[1]/ns0:Company[1]" w:storeItemID="{6668398D-A668-4E3E-A5EB-62B293D839F1}"/>
          <w:text/>
        </w:sdtPr>
        <w:sdtContent>
          <w:r w:rsidRPr="0082425A">
            <w:rPr>
              <w:rStyle w:val="PlaceholderText"/>
            </w:rPr>
            <w:t>[Company]</w:t>
          </w:r>
        </w:sdtContent>
      </w:sdt>
      <w:r w:rsidRPr="00BC1F21">
        <w:rPr>
          <w:rFonts w:ascii="Arial" w:eastAsia="Times New Roman" w:hAnsi="Arial" w:cs="Times New Roman"/>
          <w:sz w:val="20"/>
          <w:szCs w:val="20"/>
          <w:lang w:eastAsia="en-GB"/>
        </w:rPr>
        <w:t xml:space="preserve"> who disclose such concerns provided the disclosure is made:</w:t>
      </w:r>
    </w:p>
    <w:p w14:paraId="1385565C"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7D4EB6FF" w14:textId="77777777" w:rsidR="004C697E" w:rsidRPr="00BC1F21" w:rsidRDefault="004C697E" w:rsidP="004C697E">
      <w:pPr>
        <w:numPr>
          <w:ilvl w:val="0"/>
          <w:numId w:val="2"/>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in good faith </w:t>
      </w:r>
    </w:p>
    <w:p w14:paraId="4FCF61F3" w14:textId="77777777" w:rsidR="004C697E" w:rsidRPr="00BC1F21" w:rsidRDefault="004C697E" w:rsidP="004C697E">
      <w:pPr>
        <w:numPr>
          <w:ilvl w:val="0"/>
          <w:numId w:val="2"/>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 malicious or wild allegations could give rise to legal action on the part of the persons complained about. </w:t>
      </w:r>
    </w:p>
    <w:p w14:paraId="61ED974B" w14:textId="77777777" w:rsidR="004C697E" w:rsidRPr="00BC1F21" w:rsidRDefault="004C697E" w:rsidP="004C697E">
      <w:pPr>
        <w:spacing w:after="0" w:line="240" w:lineRule="auto"/>
        <w:ind w:left="360" w:hanging="360"/>
        <w:jc w:val="both"/>
        <w:rPr>
          <w:rFonts w:ascii="Arial" w:eastAsia="Times New Roman" w:hAnsi="Arial" w:cs="Times New Roman"/>
          <w:sz w:val="20"/>
          <w:szCs w:val="20"/>
          <w:lang w:eastAsia="en-GB"/>
        </w:rPr>
      </w:pPr>
    </w:p>
    <w:p w14:paraId="72D20749" w14:textId="383EAE26" w:rsidR="004C697E" w:rsidRDefault="004C697E" w:rsidP="004C697E">
      <w:pPr>
        <w:spacing w:after="0" w:line="240" w:lineRule="auto"/>
        <w:ind w:left="360" w:hanging="360"/>
        <w:jc w:val="both"/>
        <w:rPr>
          <w:rFonts w:ascii="Arial" w:eastAsia="Times New Roman" w:hAnsi="Arial" w:cs="Times New Roman"/>
          <w:sz w:val="20"/>
          <w:szCs w:val="20"/>
          <w:lang w:eastAsia="en-GB"/>
        </w:rPr>
      </w:pPr>
    </w:p>
    <w:p w14:paraId="57ABA71E" w14:textId="77777777" w:rsidR="004C697E" w:rsidRPr="00BC1F21" w:rsidRDefault="004C697E" w:rsidP="004C697E">
      <w:pPr>
        <w:spacing w:after="0" w:line="240" w:lineRule="auto"/>
        <w:ind w:left="360" w:hanging="360"/>
        <w:jc w:val="both"/>
        <w:rPr>
          <w:rFonts w:ascii="Arial" w:eastAsia="Times New Roman" w:hAnsi="Arial" w:cs="Times New Roman"/>
          <w:sz w:val="20"/>
          <w:szCs w:val="20"/>
          <w:lang w:eastAsia="en-GB"/>
        </w:rPr>
      </w:pPr>
      <w:bookmarkStart w:id="0" w:name="_GoBack"/>
      <w:bookmarkEnd w:id="0"/>
    </w:p>
    <w:p w14:paraId="7E6E8310" w14:textId="77777777" w:rsidR="004C697E" w:rsidRPr="00BC1F21"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p>
    <w:p w14:paraId="70A6ED47"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b/>
          <w:sz w:val="20"/>
          <w:szCs w:val="20"/>
          <w:lang w:eastAsia="en-GB"/>
        </w:rPr>
        <w:t>Confidentiality</w:t>
      </w:r>
      <w:r w:rsidRPr="00BC1F21">
        <w:rPr>
          <w:rFonts w:ascii="Arial" w:eastAsia="Times New Roman" w:hAnsi="Arial" w:cs="Times New Roman"/>
          <w:sz w:val="20"/>
          <w:szCs w:val="20"/>
          <w:lang w:eastAsia="en-GB"/>
        </w:rPr>
        <w:t xml:space="preserve"> - </w:t>
      </w:r>
      <w:sdt>
        <w:sdtPr>
          <w:rPr>
            <w:rFonts w:ascii="Arial" w:eastAsia="Times New Roman" w:hAnsi="Arial" w:cs="Times New Roman"/>
            <w:sz w:val="20"/>
            <w:szCs w:val="20"/>
            <w:lang w:eastAsia="en-GB"/>
          </w:rPr>
          <w:alias w:val="Company"/>
          <w:tag w:val=""/>
          <w:id w:val="-384650934"/>
          <w:placeholder>
            <w:docPart w:val="9CB1F9A31CAE4E1E900697B7A8F83D9F"/>
          </w:placeholder>
          <w:showingPlcHdr/>
          <w:dataBinding w:prefixMappings="xmlns:ns0='http://schemas.openxmlformats.org/officeDocument/2006/extended-properties' " w:xpath="/ns0:Properties[1]/ns0:Company[1]" w:storeItemID="{6668398D-A668-4E3E-A5EB-62B293D839F1}"/>
          <w:text/>
        </w:sdtPr>
        <w:sdtContent>
          <w:r w:rsidRPr="0082425A">
            <w:rPr>
              <w:rStyle w:val="PlaceholderText"/>
            </w:rPr>
            <w:t>[Company]</w:t>
          </w:r>
        </w:sdtContent>
      </w:sdt>
      <w:r w:rsidRPr="00BC1F21">
        <w:rPr>
          <w:rFonts w:ascii="Arial" w:eastAsia="Times New Roman" w:hAnsi="Arial" w:cs="Times New Roman"/>
          <w:sz w:val="20"/>
          <w:szCs w:val="20"/>
          <w:lang w:eastAsia="en-GB"/>
        </w:rPr>
        <w:t xml:space="preserve">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p>
    <w:p w14:paraId="4EE9AF5C"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75F92BEB"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b/>
          <w:sz w:val="20"/>
          <w:szCs w:val="20"/>
          <w:lang w:eastAsia="en-GB"/>
        </w:rPr>
        <w:t>Anonymous Allegations</w:t>
      </w:r>
      <w:r w:rsidRPr="00BC1F21">
        <w:rPr>
          <w:rFonts w:ascii="Arial" w:eastAsia="Times New Roman" w:hAnsi="Arial" w:cs="Times New Roman"/>
          <w:sz w:val="20"/>
          <w:szCs w:val="20"/>
          <w:lang w:eastAsia="en-GB"/>
        </w:rPr>
        <w:t xml:space="preserve"> - this policy encourages individuals to put their name to any disclosures they make. Concerns expressed anonymously are much less credible, but they may be considered at the discretion of the Company. In exercising this discretion, the factors to be </w:t>
      </w:r>
      <w:proofErr w:type="gramStart"/>
      <w:r w:rsidRPr="00BC1F21">
        <w:rPr>
          <w:rFonts w:ascii="Arial" w:eastAsia="Times New Roman" w:hAnsi="Arial" w:cs="Times New Roman"/>
          <w:sz w:val="20"/>
          <w:szCs w:val="20"/>
          <w:lang w:eastAsia="en-GB"/>
        </w:rPr>
        <w:t>taken into account</w:t>
      </w:r>
      <w:proofErr w:type="gramEnd"/>
      <w:r w:rsidRPr="00BC1F21">
        <w:rPr>
          <w:rFonts w:ascii="Arial" w:eastAsia="Times New Roman" w:hAnsi="Arial" w:cs="Times New Roman"/>
          <w:sz w:val="20"/>
          <w:szCs w:val="20"/>
          <w:lang w:eastAsia="en-GB"/>
        </w:rPr>
        <w:t xml:space="preserve"> will include:</w:t>
      </w:r>
    </w:p>
    <w:p w14:paraId="7316CBDB"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4C978991" w14:textId="77777777" w:rsidR="004C697E" w:rsidRPr="00BC1F21" w:rsidRDefault="004C697E" w:rsidP="004C697E">
      <w:pPr>
        <w:numPr>
          <w:ilvl w:val="0"/>
          <w:numId w:val="3"/>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The seriousness of the issues raised </w:t>
      </w:r>
    </w:p>
    <w:p w14:paraId="6C856700" w14:textId="77777777" w:rsidR="004C697E" w:rsidRPr="00BC1F21" w:rsidRDefault="004C697E" w:rsidP="004C697E">
      <w:pPr>
        <w:numPr>
          <w:ilvl w:val="0"/>
          <w:numId w:val="3"/>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The credibility of the concern </w:t>
      </w:r>
    </w:p>
    <w:p w14:paraId="54CD5758" w14:textId="77777777" w:rsidR="004C697E" w:rsidRPr="00BC1F21" w:rsidRDefault="004C697E" w:rsidP="004C697E">
      <w:pPr>
        <w:numPr>
          <w:ilvl w:val="0"/>
          <w:numId w:val="3"/>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The likelihood of confirming the allegation from attributable sources </w:t>
      </w:r>
    </w:p>
    <w:p w14:paraId="649CBDFB" w14:textId="77777777" w:rsidR="004C697E" w:rsidRPr="00BC1F21" w:rsidRDefault="004C697E" w:rsidP="004C697E">
      <w:pPr>
        <w:spacing w:after="0" w:line="240" w:lineRule="auto"/>
        <w:ind w:left="360" w:hanging="360"/>
        <w:jc w:val="both"/>
        <w:rPr>
          <w:rFonts w:ascii="Arial" w:eastAsia="Times New Roman" w:hAnsi="Arial" w:cs="Times New Roman"/>
          <w:sz w:val="20"/>
          <w:szCs w:val="20"/>
          <w:lang w:eastAsia="en-GB"/>
        </w:rPr>
      </w:pPr>
    </w:p>
    <w:p w14:paraId="6C313F6A"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b/>
          <w:sz w:val="20"/>
          <w:szCs w:val="20"/>
          <w:lang w:eastAsia="en-GB"/>
        </w:rPr>
        <w:t>Untrue Allegations</w:t>
      </w:r>
      <w:r w:rsidRPr="00BC1F21">
        <w:rPr>
          <w:rFonts w:ascii="Arial" w:eastAsia="Times New Roman" w:hAnsi="Arial" w:cs="Times New Roman"/>
          <w:sz w:val="20"/>
          <w:szCs w:val="20"/>
          <w:lang w:eastAsia="en-GB"/>
        </w:rPr>
        <w:t xml:space="preserve"> - 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14:paraId="385AC1AA"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0CC46FDA" w14:textId="77777777" w:rsidR="004C697E" w:rsidRPr="00BC1F21"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r w:rsidRPr="00BC1F21">
        <w:rPr>
          <w:rFonts w:ascii="Arial" w:eastAsia="Times New Roman" w:hAnsi="Arial" w:cs="Times New Roman"/>
          <w:b/>
          <w:sz w:val="20"/>
          <w:szCs w:val="20"/>
          <w:lang w:eastAsia="en-GB"/>
        </w:rPr>
        <w:t>Procedures for Making a Disclosure</w:t>
      </w:r>
    </w:p>
    <w:p w14:paraId="6703B08C"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1398C719"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On receipt of a complaint of malpractice, the member of staff who receives and takes note of the complaint, must pass this information as soon as is reasonably possible, to the appropriate designated investigating officer as follows:</w:t>
      </w:r>
    </w:p>
    <w:p w14:paraId="671AD48F"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0B5960EC" w14:textId="77777777" w:rsidR="004C697E" w:rsidRPr="00BC1F21" w:rsidRDefault="004C697E" w:rsidP="004C697E">
      <w:pPr>
        <w:numPr>
          <w:ilvl w:val="0"/>
          <w:numId w:val="4"/>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Complaints of malpractice will be investigated by the appropriate Director unless the complaint is against the Director or is in any way related to the actions of the Director. In such cases, the complaint should be passed to </w:t>
      </w:r>
      <w:proofErr w:type="gramStart"/>
      <w:r w:rsidRPr="00BC1F21">
        <w:rPr>
          <w:rFonts w:ascii="Arial" w:eastAsia="Times New Roman" w:hAnsi="Arial" w:cs="Times New Roman"/>
          <w:sz w:val="20"/>
          <w:szCs w:val="20"/>
          <w:lang w:eastAsia="en-GB"/>
        </w:rPr>
        <w:t>the  Business</w:t>
      </w:r>
      <w:proofErr w:type="gramEnd"/>
      <w:r w:rsidRPr="00BC1F21">
        <w:rPr>
          <w:rFonts w:ascii="Arial" w:eastAsia="Times New Roman" w:hAnsi="Arial" w:cs="Times New Roman"/>
          <w:sz w:val="20"/>
          <w:szCs w:val="20"/>
          <w:lang w:eastAsia="en-GB"/>
        </w:rPr>
        <w:t xml:space="preserve"> Owner for referral. </w:t>
      </w:r>
    </w:p>
    <w:p w14:paraId="7EE7F195" w14:textId="77777777" w:rsidR="004C697E" w:rsidRPr="00BC1F21" w:rsidRDefault="004C697E" w:rsidP="004C697E">
      <w:pPr>
        <w:numPr>
          <w:ilvl w:val="0"/>
          <w:numId w:val="4"/>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In the case of a complaint, which is any way connected with but not against the Director, the Business Owner will nominate a Senior Manager or external party to act as the alternative investigating officer. </w:t>
      </w:r>
    </w:p>
    <w:p w14:paraId="232BD5A5" w14:textId="77777777" w:rsidR="004C697E" w:rsidRPr="00BC1F21" w:rsidRDefault="004C697E" w:rsidP="004C697E">
      <w:pPr>
        <w:numPr>
          <w:ilvl w:val="0"/>
          <w:numId w:val="4"/>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Complaints against the Business Owner should be passed to the manager who will nominate an appropriate internal / external investigating officer. </w:t>
      </w:r>
    </w:p>
    <w:p w14:paraId="63AFDFCC" w14:textId="77777777" w:rsidR="004C697E" w:rsidRPr="00BC1F21" w:rsidRDefault="004C697E" w:rsidP="004C697E">
      <w:pPr>
        <w:numPr>
          <w:ilvl w:val="0"/>
          <w:numId w:val="4"/>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The complainant has the right to bypass the line management structure and take their complaint direct to the Chairman (or Business Owner). The Chairman (or Business Owner) has the right to refer the complaint back to management if he/she feels that the management without any conflict of interest can more appropriately investigate the complaint. </w:t>
      </w:r>
    </w:p>
    <w:p w14:paraId="6D299289" w14:textId="77777777" w:rsidR="004C697E" w:rsidRPr="00BC1F21" w:rsidRDefault="004C697E" w:rsidP="004C697E">
      <w:pPr>
        <w:spacing w:after="0" w:line="240" w:lineRule="auto"/>
        <w:ind w:left="360" w:hanging="360"/>
        <w:jc w:val="both"/>
        <w:rPr>
          <w:rFonts w:ascii="Arial" w:eastAsia="Times New Roman" w:hAnsi="Arial" w:cs="Times New Roman"/>
          <w:sz w:val="20"/>
          <w:szCs w:val="20"/>
          <w:lang w:eastAsia="en-GB"/>
        </w:rPr>
      </w:pPr>
    </w:p>
    <w:p w14:paraId="6EE79484"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Should none of the above routes be suitable or acceptable to the complainant, then the complainant may approach one of the following individuals who have been designated and trained as independent points of contact under this procedure. They can advise the complainant on the implications of the legislation and the possible internal and external avenues of complaint open to them:</w:t>
      </w:r>
    </w:p>
    <w:p w14:paraId="45398ACF"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4B8EEE9B" w14:textId="77777777" w:rsidR="004C697E" w:rsidRPr="00BC1F21" w:rsidRDefault="004C697E" w:rsidP="004C697E">
      <w:pPr>
        <w:spacing w:after="0" w:line="240" w:lineRule="auto"/>
        <w:ind w:left="216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1 </w:t>
      </w:r>
    </w:p>
    <w:p w14:paraId="45648E1E" w14:textId="77777777" w:rsidR="004C697E" w:rsidRPr="00BC1F21" w:rsidRDefault="004C697E" w:rsidP="004C697E">
      <w:pPr>
        <w:spacing w:after="0" w:line="240" w:lineRule="auto"/>
        <w:ind w:left="2160" w:hanging="360"/>
        <w:jc w:val="both"/>
        <w:rPr>
          <w:rFonts w:ascii="Arial" w:eastAsia="Times New Roman" w:hAnsi="Arial" w:cs="Times New Roman"/>
          <w:sz w:val="20"/>
          <w:szCs w:val="20"/>
          <w:lang w:eastAsia="en-GB"/>
        </w:rPr>
      </w:pPr>
    </w:p>
    <w:p w14:paraId="3DACFE9F" w14:textId="77777777" w:rsidR="004C697E" w:rsidRPr="00BC1F21" w:rsidRDefault="004C697E" w:rsidP="004C697E">
      <w:pPr>
        <w:spacing w:after="0" w:line="240" w:lineRule="auto"/>
        <w:ind w:left="216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2 </w:t>
      </w:r>
    </w:p>
    <w:p w14:paraId="30B0FEEB" w14:textId="77777777" w:rsidR="004C697E" w:rsidRPr="00BC1F21" w:rsidRDefault="004C697E" w:rsidP="004C697E">
      <w:pPr>
        <w:widowControl w:val="0"/>
        <w:spacing w:before="100" w:after="100" w:line="240" w:lineRule="auto"/>
        <w:ind w:left="360" w:right="360" w:hanging="360"/>
        <w:jc w:val="both"/>
        <w:rPr>
          <w:rFonts w:ascii="Arial" w:eastAsia="Times New Roman" w:hAnsi="Arial" w:cs="Times New Roman"/>
          <w:snapToGrid w:val="0"/>
          <w:sz w:val="20"/>
          <w:szCs w:val="20"/>
        </w:rPr>
      </w:pPr>
    </w:p>
    <w:p w14:paraId="11303918"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If there is evidence of criminal </w:t>
      </w:r>
      <w:proofErr w:type="gramStart"/>
      <w:r w:rsidRPr="00BC1F21">
        <w:rPr>
          <w:rFonts w:ascii="Arial" w:eastAsia="Times New Roman" w:hAnsi="Arial" w:cs="Times New Roman"/>
          <w:sz w:val="20"/>
          <w:szCs w:val="20"/>
          <w:lang w:eastAsia="en-GB"/>
        </w:rPr>
        <w:t>activity</w:t>
      </w:r>
      <w:proofErr w:type="gramEnd"/>
      <w:r w:rsidRPr="00BC1F21">
        <w:rPr>
          <w:rFonts w:ascii="Arial" w:eastAsia="Times New Roman" w:hAnsi="Arial" w:cs="Times New Roman"/>
          <w:sz w:val="20"/>
          <w:szCs w:val="20"/>
          <w:lang w:eastAsia="en-GB"/>
        </w:rPr>
        <w:t xml:space="preserve"> then the investigating officer should inform the police. The Company will ensure that any internal investigation does not hinder a formal police investigation.</w:t>
      </w:r>
    </w:p>
    <w:p w14:paraId="020AF848"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79E39C39"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2BED2E26"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45102087"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7ED29E08" w14:textId="77777777" w:rsidR="004C697E"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p>
    <w:p w14:paraId="7DA4A65D" w14:textId="77777777" w:rsidR="004C697E"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p>
    <w:p w14:paraId="0443CDE6" w14:textId="77777777" w:rsidR="004C697E"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p>
    <w:p w14:paraId="16BCA1C7" w14:textId="308F4B2D" w:rsidR="004C697E" w:rsidRPr="00BC1F21"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r w:rsidRPr="00BC1F21">
        <w:rPr>
          <w:rFonts w:ascii="Arial" w:eastAsia="Times New Roman" w:hAnsi="Arial" w:cs="Times New Roman"/>
          <w:b/>
          <w:sz w:val="20"/>
          <w:szCs w:val="20"/>
          <w:lang w:eastAsia="en-GB"/>
        </w:rPr>
        <w:t>Timescales</w:t>
      </w:r>
    </w:p>
    <w:p w14:paraId="5D9714C0" w14:textId="77777777" w:rsidR="004C697E" w:rsidRPr="00BC1F21" w:rsidRDefault="004C697E" w:rsidP="004C697E">
      <w:pPr>
        <w:spacing w:after="0" w:line="240" w:lineRule="auto"/>
        <w:ind w:left="720" w:hanging="360"/>
        <w:jc w:val="both"/>
        <w:rPr>
          <w:rFonts w:ascii="Arial" w:eastAsia="Times New Roman" w:hAnsi="Arial" w:cs="Times New Roman"/>
          <w:b/>
          <w:sz w:val="20"/>
          <w:szCs w:val="20"/>
          <w:lang w:eastAsia="en-GB"/>
        </w:rPr>
      </w:pPr>
    </w:p>
    <w:p w14:paraId="0803F234"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Due to the varied nature of these sorts of complaints, which may involve internal / external 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14:paraId="1A6F7050"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4034621D"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14:paraId="34A4BD17"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2EF6EAEE"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All responses to the complainant should be in writing and sent to their home address marked “confidential”.</w:t>
      </w:r>
    </w:p>
    <w:p w14:paraId="519F828E"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6F60501C" w14:textId="77777777" w:rsidR="004C697E" w:rsidRPr="00BC1F21" w:rsidRDefault="004C697E" w:rsidP="004C697E">
      <w:pPr>
        <w:keepNext/>
        <w:spacing w:after="0" w:line="240" w:lineRule="auto"/>
        <w:ind w:left="720" w:hanging="360"/>
        <w:jc w:val="both"/>
        <w:outlineLvl w:val="2"/>
        <w:rPr>
          <w:rFonts w:ascii="Arial" w:eastAsia="Times New Roman" w:hAnsi="Arial" w:cs="Times New Roman"/>
          <w:b/>
          <w:sz w:val="20"/>
          <w:szCs w:val="20"/>
          <w:lang w:eastAsia="en-GB"/>
        </w:rPr>
      </w:pPr>
      <w:r w:rsidRPr="00BC1F21">
        <w:rPr>
          <w:rFonts w:ascii="Arial" w:eastAsia="Times New Roman" w:hAnsi="Arial" w:cs="Times New Roman"/>
          <w:b/>
          <w:sz w:val="20"/>
          <w:szCs w:val="20"/>
          <w:lang w:eastAsia="en-GB"/>
        </w:rPr>
        <w:t xml:space="preserve">Investigating Procedure </w:t>
      </w:r>
    </w:p>
    <w:p w14:paraId="5CEE29CC"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37C6590B"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The investigating officer should follow these steps:</w:t>
      </w:r>
    </w:p>
    <w:p w14:paraId="4F52BDFB"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344F2EDC" w14:textId="77777777" w:rsidR="004C697E" w:rsidRPr="00BC1F21" w:rsidRDefault="004C697E" w:rsidP="004C697E">
      <w:pPr>
        <w:numPr>
          <w:ilvl w:val="0"/>
          <w:numId w:val="5"/>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Full details and clarifications of the complaint should be obtained. </w:t>
      </w:r>
    </w:p>
    <w:p w14:paraId="5CC57E3E" w14:textId="77777777" w:rsidR="004C697E" w:rsidRPr="00BC1F21" w:rsidRDefault="004C697E" w:rsidP="004C697E">
      <w:pPr>
        <w:numPr>
          <w:ilvl w:val="0"/>
          <w:numId w:val="5"/>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The investigating officer should inform the member of staff against whom the complaint is made as soon as is practically possible. The member of staff will be informed of their right to be accompanied by a trade union or work colleague at any future interview or hearing held under the provision of these procedures. At the discretion of the investigating officer and dependant on the circumstances of the complaint an alternative representative may be allowed e.g. the individual’s legal representative.</w:t>
      </w:r>
    </w:p>
    <w:p w14:paraId="1F8905F0" w14:textId="77777777" w:rsidR="004C697E" w:rsidRPr="00BC1F21" w:rsidRDefault="004C697E" w:rsidP="004C697E">
      <w:pPr>
        <w:numPr>
          <w:ilvl w:val="0"/>
          <w:numId w:val="5"/>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The investigating officer should consider the involvement of the Company auditors and the Police at this stage and should consult with the Business Owner if appropriate</w:t>
      </w:r>
    </w:p>
    <w:p w14:paraId="66B593DD" w14:textId="77777777" w:rsidR="004C697E" w:rsidRPr="00BC1F21" w:rsidRDefault="004C697E" w:rsidP="004C697E">
      <w:pPr>
        <w:numPr>
          <w:ilvl w:val="0"/>
          <w:numId w:val="5"/>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The allegations should be fully investigated by the investigating officer with the assistance where appropriate, of other individuals / bodies. EG </w:t>
      </w:r>
      <w:proofErr w:type="gramStart"/>
      <w:r w:rsidRPr="00BC1F21">
        <w:rPr>
          <w:rFonts w:ascii="Arial" w:eastAsia="Times New Roman" w:hAnsi="Arial" w:cs="Times New Roman"/>
          <w:sz w:val="20"/>
          <w:szCs w:val="20"/>
          <w:lang w:eastAsia="en-GB"/>
        </w:rPr>
        <w:t>The</w:t>
      </w:r>
      <w:proofErr w:type="gramEnd"/>
      <w:r w:rsidRPr="00BC1F21">
        <w:rPr>
          <w:rFonts w:ascii="Arial" w:eastAsia="Times New Roman" w:hAnsi="Arial" w:cs="Times New Roman"/>
          <w:sz w:val="20"/>
          <w:szCs w:val="20"/>
          <w:lang w:eastAsia="en-GB"/>
        </w:rPr>
        <w:t xml:space="preserve"> GDC</w:t>
      </w:r>
    </w:p>
    <w:p w14:paraId="5EF670A8" w14:textId="77777777" w:rsidR="004C697E" w:rsidRPr="00BC1F21" w:rsidRDefault="004C697E" w:rsidP="004C697E">
      <w:pPr>
        <w:numPr>
          <w:ilvl w:val="0"/>
          <w:numId w:val="5"/>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A judgement concerning the complaint and validity of the complaint will be made by the investigating officer. This judgement will be detailed in a written report containing the findings of the investigations and reasons for the judgement. The report will be passed to the Business Owner as appropriate. </w:t>
      </w:r>
    </w:p>
    <w:p w14:paraId="2F4CC209" w14:textId="77777777" w:rsidR="004C697E" w:rsidRPr="00BC1F21" w:rsidRDefault="004C697E" w:rsidP="004C697E">
      <w:pPr>
        <w:numPr>
          <w:ilvl w:val="0"/>
          <w:numId w:val="5"/>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The Business Owner will decide what action to take. If the complaint is shown to be justified, then they will invoke the disciplinary or other appropriate Company procedures. </w:t>
      </w:r>
    </w:p>
    <w:p w14:paraId="2EBCA76A" w14:textId="77777777" w:rsidR="004C697E" w:rsidRPr="00BC1F21" w:rsidRDefault="004C697E" w:rsidP="004C697E">
      <w:pPr>
        <w:numPr>
          <w:ilvl w:val="0"/>
          <w:numId w:val="5"/>
        </w:numPr>
        <w:spacing w:after="0" w:line="240" w:lineRule="auto"/>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 xml:space="preserve">The complainant should be kept informed of the progress of the investigations and, if appropriate, of the </w:t>
      </w:r>
      <w:proofErr w:type="gramStart"/>
      <w:r w:rsidRPr="00BC1F21">
        <w:rPr>
          <w:rFonts w:ascii="Arial" w:eastAsia="Times New Roman" w:hAnsi="Arial" w:cs="Times New Roman"/>
          <w:sz w:val="20"/>
          <w:szCs w:val="20"/>
          <w:lang w:eastAsia="en-GB"/>
        </w:rPr>
        <w:t>final outcome</w:t>
      </w:r>
      <w:proofErr w:type="gramEnd"/>
      <w:r w:rsidRPr="00BC1F21">
        <w:rPr>
          <w:rFonts w:ascii="Arial" w:eastAsia="Times New Roman" w:hAnsi="Arial" w:cs="Times New Roman"/>
          <w:sz w:val="20"/>
          <w:szCs w:val="20"/>
          <w:lang w:eastAsia="en-GB"/>
        </w:rPr>
        <w:t xml:space="preserve">. </w:t>
      </w:r>
    </w:p>
    <w:p w14:paraId="166F66AD" w14:textId="77777777" w:rsidR="004C697E" w:rsidRPr="00BC1F21" w:rsidRDefault="004C697E" w:rsidP="004C697E">
      <w:pPr>
        <w:numPr>
          <w:ilvl w:val="0"/>
          <w:numId w:val="5"/>
        </w:numPr>
        <w:spacing w:after="0" w:line="240" w:lineRule="auto"/>
        <w:jc w:val="both"/>
        <w:rPr>
          <w:rFonts w:ascii="Arial" w:eastAsia="Times New Roman" w:hAnsi="Arial" w:cs="Times New Roman"/>
          <w:sz w:val="20"/>
          <w:szCs w:val="20"/>
          <w:lang w:eastAsia="en-GB"/>
        </w:rPr>
      </w:pPr>
      <w:bookmarkStart w:id="1" w:name="_Hlk507766936"/>
      <w:r w:rsidRPr="00BC1F21">
        <w:rPr>
          <w:rFonts w:ascii="Arial" w:eastAsia="Times New Roman" w:hAnsi="Arial" w:cs="Times New Roman"/>
          <w:sz w:val="20"/>
          <w:szCs w:val="20"/>
          <w:lang w:eastAsia="en-GB"/>
        </w:rPr>
        <w:t xml:space="preserve">If appropriate, a copy of the outcomes will be used to enable a review of Company procedures. </w:t>
      </w:r>
    </w:p>
    <w:bookmarkEnd w:id="1"/>
    <w:p w14:paraId="4AC2B42B" w14:textId="77777777" w:rsidR="004C697E" w:rsidRPr="00BC1F21" w:rsidRDefault="004C697E" w:rsidP="004C697E">
      <w:pPr>
        <w:spacing w:after="0" w:line="240" w:lineRule="auto"/>
        <w:ind w:left="360" w:hanging="360"/>
        <w:jc w:val="both"/>
        <w:rPr>
          <w:rFonts w:ascii="Arial" w:eastAsia="Times New Roman" w:hAnsi="Arial" w:cs="Times New Roman"/>
          <w:sz w:val="20"/>
          <w:szCs w:val="20"/>
          <w:lang w:eastAsia="en-GB"/>
        </w:rPr>
      </w:pPr>
    </w:p>
    <w:p w14:paraId="2A86ADBD"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r w:rsidRPr="00BC1F21">
        <w:rPr>
          <w:rFonts w:ascii="Arial" w:eastAsia="Times New Roman" w:hAnsi="Arial" w:cs="Times New Roman"/>
          <w:sz w:val="20"/>
          <w:szCs w:val="20"/>
          <w:lang w:eastAsia="en-GB"/>
        </w:rPr>
        <w:t>If the complainant is not satisfied that their concern is being properly dealt with by the investigating officer, they have the right to raise it in confidence with the Business Owner, or one of the designated persons described above.</w:t>
      </w:r>
    </w:p>
    <w:p w14:paraId="0BC3F684"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p>
    <w:p w14:paraId="77D4EB09" w14:textId="77777777" w:rsidR="004C697E" w:rsidRPr="00BC1F21" w:rsidRDefault="004C697E" w:rsidP="004C697E">
      <w:pPr>
        <w:spacing w:after="0" w:line="240" w:lineRule="auto"/>
        <w:ind w:left="720" w:hanging="360"/>
        <w:jc w:val="both"/>
        <w:rPr>
          <w:rFonts w:ascii="Arial" w:eastAsia="Times New Roman" w:hAnsi="Arial" w:cs="Times New Roman"/>
          <w:sz w:val="20"/>
          <w:szCs w:val="20"/>
          <w:lang w:eastAsia="en-GB"/>
        </w:rPr>
      </w:pPr>
      <w:bookmarkStart w:id="2" w:name="_Hlk507766960"/>
      <w:r w:rsidRPr="00BC1F21">
        <w:rPr>
          <w:rFonts w:ascii="Arial" w:eastAsia="Times New Roman" w:hAnsi="Arial" w:cs="Times New Roman"/>
          <w:sz w:val="20"/>
          <w:szCs w:val="20"/>
          <w:lang w:eastAsia="en-GB"/>
        </w:rPr>
        <w:t xml:space="preserve">If the investigation finds the allegations unsubstantiated and all internal procedures have been exhausted, but the complainant is not satisfied with the outcome of the investigation, </w:t>
      </w:r>
      <w:sdt>
        <w:sdtPr>
          <w:rPr>
            <w:rFonts w:ascii="Arial" w:eastAsia="Times New Roman" w:hAnsi="Arial" w:cs="Times New Roman"/>
            <w:sz w:val="20"/>
            <w:szCs w:val="20"/>
            <w:lang w:eastAsia="en-GB"/>
          </w:rPr>
          <w:alias w:val="Company"/>
          <w:tag w:val=""/>
          <w:id w:val="315164626"/>
          <w:placeholder>
            <w:docPart w:val="A9815CFA11634B889E86E453B9A2F5C3"/>
          </w:placeholder>
          <w:showingPlcHdr/>
          <w:dataBinding w:prefixMappings="xmlns:ns0='http://schemas.openxmlformats.org/officeDocument/2006/extended-properties' " w:xpath="/ns0:Properties[1]/ns0:Company[1]" w:storeItemID="{6668398D-A668-4E3E-A5EB-62B293D839F1}"/>
          <w:text/>
        </w:sdtPr>
        <w:sdtContent>
          <w:r w:rsidRPr="0082425A">
            <w:rPr>
              <w:rStyle w:val="PlaceholderText"/>
            </w:rPr>
            <w:t>[Company]</w:t>
          </w:r>
        </w:sdtContent>
      </w:sdt>
      <w:r w:rsidRPr="00BC1F21">
        <w:rPr>
          <w:rFonts w:ascii="Arial" w:eastAsia="Times New Roman" w:hAnsi="Arial" w:cs="Times New Roman"/>
          <w:sz w:val="20"/>
          <w:szCs w:val="20"/>
          <w:lang w:eastAsia="en-GB"/>
        </w:rPr>
        <w:t xml:space="preserve"> recognises the lawful rights of employees and ex-employees to make disclosures to prescribed persons or body (e.g. the Health and Safety </w:t>
      </w:r>
      <w:proofErr w:type="gramStart"/>
      <w:r w:rsidRPr="00BC1F21">
        <w:rPr>
          <w:rFonts w:ascii="Arial" w:eastAsia="Times New Roman" w:hAnsi="Arial" w:cs="Times New Roman"/>
          <w:sz w:val="20"/>
          <w:szCs w:val="20"/>
          <w:lang w:eastAsia="en-GB"/>
        </w:rPr>
        <w:t>Executive ,</w:t>
      </w:r>
      <w:proofErr w:type="gramEnd"/>
      <w:r w:rsidRPr="00BC1F21">
        <w:rPr>
          <w:rFonts w:ascii="Arial" w:eastAsia="Times New Roman" w:hAnsi="Arial" w:cs="Times New Roman"/>
          <w:sz w:val="20"/>
          <w:szCs w:val="20"/>
          <w:lang w:eastAsia="en-GB"/>
        </w:rPr>
        <w:t xml:space="preserve"> GDC ). A full list of prescribed people and bodies can be found on the Government Website (www.gov.uk).</w:t>
      </w:r>
      <w:bookmarkEnd w:id="2"/>
    </w:p>
    <w:p w14:paraId="3E49A43E" w14:textId="77777777" w:rsidR="004C697E" w:rsidRDefault="004C697E" w:rsidP="004C697E">
      <w:pPr>
        <w:spacing w:before="297" w:after="297" w:line="240" w:lineRule="auto"/>
        <w:rPr>
          <w:b/>
        </w:rPr>
      </w:pPr>
    </w:p>
    <w:p w14:paraId="2A2EAEA0" w14:textId="77777777" w:rsidR="004C697E" w:rsidRPr="00375E2E" w:rsidRDefault="004C697E" w:rsidP="004C697E">
      <w:pPr>
        <w:spacing w:before="297" w:after="297" w:line="240" w:lineRule="auto"/>
        <w:rPr>
          <w:b/>
        </w:rPr>
      </w:pPr>
    </w:p>
    <w:p w14:paraId="589B2619" w14:textId="77777777" w:rsidR="004C697E" w:rsidRDefault="004C697E"/>
    <w:sectPr w:rsidR="004C6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CA5ED3"/>
    <w:multiLevelType w:val="hybridMultilevel"/>
    <w:tmpl w:val="FD507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D7578B"/>
    <w:multiLevelType w:val="hybridMultilevel"/>
    <w:tmpl w:val="646E4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C85FE3"/>
    <w:multiLevelType w:val="hybridMultilevel"/>
    <w:tmpl w:val="ACD2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505D9A"/>
    <w:multiLevelType w:val="hybridMultilevel"/>
    <w:tmpl w:val="64AEE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7E"/>
    <w:rsid w:val="004C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968D"/>
  <w15:chartTrackingRefBased/>
  <w15:docId w15:val="{80ACEB1F-F277-43FA-8EDA-3136462C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B73C567BB24A9FACD9B0BE0A7001E8"/>
        <w:category>
          <w:name w:val="General"/>
          <w:gallery w:val="placeholder"/>
        </w:category>
        <w:types>
          <w:type w:val="bbPlcHdr"/>
        </w:types>
        <w:behaviors>
          <w:behavior w:val="content"/>
        </w:behaviors>
        <w:guid w:val="{1D1FE911-F118-44A3-99B8-C744E31C1F0F}"/>
      </w:docPartPr>
      <w:docPartBody>
        <w:p w:rsidR="00000000" w:rsidRDefault="00F53033" w:rsidP="00F53033">
          <w:pPr>
            <w:pStyle w:val="5CB73C567BB24A9FACD9B0BE0A7001E8"/>
          </w:pPr>
          <w:r w:rsidRPr="0082425A">
            <w:rPr>
              <w:rStyle w:val="PlaceholderText"/>
            </w:rPr>
            <w:t>[Company]</w:t>
          </w:r>
        </w:p>
      </w:docPartBody>
    </w:docPart>
    <w:docPart>
      <w:docPartPr>
        <w:name w:val="FB51E8CEA56F4F4E9E7DF6FEC58360E3"/>
        <w:category>
          <w:name w:val="General"/>
          <w:gallery w:val="placeholder"/>
        </w:category>
        <w:types>
          <w:type w:val="bbPlcHdr"/>
        </w:types>
        <w:behaviors>
          <w:behavior w:val="content"/>
        </w:behaviors>
        <w:guid w:val="{43B00DB5-9A1C-4713-9C26-9D9DFC20696C}"/>
      </w:docPartPr>
      <w:docPartBody>
        <w:p w:rsidR="00000000" w:rsidRDefault="00F53033" w:rsidP="00F53033">
          <w:pPr>
            <w:pStyle w:val="FB51E8CEA56F4F4E9E7DF6FEC58360E3"/>
          </w:pPr>
          <w:r w:rsidRPr="0082425A">
            <w:rPr>
              <w:rStyle w:val="PlaceholderText"/>
            </w:rPr>
            <w:t>[Company]</w:t>
          </w:r>
        </w:p>
      </w:docPartBody>
    </w:docPart>
    <w:docPart>
      <w:docPartPr>
        <w:name w:val="9CB1F9A31CAE4E1E900697B7A8F83D9F"/>
        <w:category>
          <w:name w:val="General"/>
          <w:gallery w:val="placeholder"/>
        </w:category>
        <w:types>
          <w:type w:val="bbPlcHdr"/>
        </w:types>
        <w:behaviors>
          <w:behavior w:val="content"/>
        </w:behaviors>
        <w:guid w:val="{F4CB4658-BC7E-455C-A505-02B79CA86561}"/>
      </w:docPartPr>
      <w:docPartBody>
        <w:p w:rsidR="00000000" w:rsidRDefault="00F53033" w:rsidP="00F53033">
          <w:pPr>
            <w:pStyle w:val="9CB1F9A31CAE4E1E900697B7A8F83D9F"/>
          </w:pPr>
          <w:r w:rsidRPr="0082425A">
            <w:rPr>
              <w:rStyle w:val="PlaceholderText"/>
            </w:rPr>
            <w:t>[Company]</w:t>
          </w:r>
        </w:p>
      </w:docPartBody>
    </w:docPart>
    <w:docPart>
      <w:docPartPr>
        <w:name w:val="A9815CFA11634B889E86E453B9A2F5C3"/>
        <w:category>
          <w:name w:val="General"/>
          <w:gallery w:val="placeholder"/>
        </w:category>
        <w:types>
          <w:type w:val="bbPlcHdr"/>
        </w:types>
        <w:behaviors>
          <w:behavior w:val="content"/>
        </w:behaviors>
        <w:guid w:val="{43062FFE-506C-4EDA-B334-5CC4B585930F}"/>
      </w:docPartPr>
      <w:docPartBody>
        <w:p w:rsidR="00000000" w:rsidRDefault="00F53033" w:rsidP="00F53033">
          <w:pPr>
            <w:pStyle w:val="A9815CFA11634B889E86E453B9A2F5C3"/>
          </w:pPr>
          <w:r w:rsidRPr="0082425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33"/>
    <w:rsid w:val="0048232F"/>
    <w:rsid w:val="00F53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033"/>
    <w:rPr>
      <w:color w:val="808080"/>
    </w:rPr>
  </w:style>
  <w:style w:type="paragraph" w:customStyle="1" w:styleId="5CB73C567BB24A9FACD9B0BE0A7001E8">
    <w:name w:val="5CB73C567BB24A9FACD9B0BE0A7001E8"/>
    <w:rsid w:val="00F53033"/>
  </w:style>
  <w:style w:type="paragraph" w:customStyle="1" w:styleId="FB51E8CEA56F4F4E9E7DF6FEC58360E3">
    <w:name w:val="FB51E8CEA56F4F4E9E7DF6FEC58360E3"/>
    <w:rsid w:val="00F53033"/>
  </w:style>
  <w:style w:type="paragraph" w:customStyle="1" w:styleId="9CB1F9A31CAE4E1E900697B7A8F83D9F">
    <w:name w:val="9CB1F9A31CAE4E1E900697B7A8F83D9F"/>
    <w:rsid w:val="00F53033"/>
  </w:style>
  <w:style w:type="paragraph" w:customStyle="1" w:styleId="A9815CFA11634B889E86E453B9A2F5C3">
    <w:name w:val="A9815CFA11634B889E86E453B9A2F5C3"/>
    <w:rsid w:val="00F53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 COURT DENTAL SURGERY</dc:creator>
  <cp:keywords/>
  <dc:description/>
  <cp:lastModifiedBy>STABLE COURT DENTAL SURGERY</cp:lastModifiedBy>
  <cp:revision>1</cp:revision>
  <dcterms:created xsi:type="dcterms:W3CDTF">2018-10-01T15:54:00Z</dcterms:created>
  <dcterms:modified xsi:type="dcterms:W3CDTF">2018-10-01T15:55:00Z</dcterms:modified>
</cp:coreProperties>
</file>