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CDBB" w14:textId="08026DE0" w:rsidR="005B752F" w:rsidRDefault="005B752F">
      <w:r>
        <w:t xml:space="preserve">                                             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3686"/>
        <w:gridCol w:w="3314"/>
        <w:gridCol w:w="3065"/>
      </w:tblGrid>
      <w:tr w:rsidR="005B752F" w14:paraId="08762951" w14:textId="77777777" w:rsidTr="468078E6">
        <w:tc>
          <w:tcPr>
            <w:tcW w:w="993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096296DA" w:rsidR="005B752F" w:rsidRDefault="0027645D">
            <w:r>
              <w:t>Yorkshire and Humber</w:t>
            </w:r>
          </w:p>
          <w:p w14:paraId="582B194B" w14:textId="77777777" w:rsidR="00BD6DCA" w:rsidRDefault="00BD6DCA"/>
        </w:tc>
      </w:tr>
      <w:tr w:rsidR="005B752F" w14:paraId="3D0C0602" w14:textId="77777777" w:rsidTr="468078E6">
        <w:tc>
          <w:tcPr>
            <w:tcW w:w="993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2AA9401D" w14:textId="2C87B264" w:rsidR="005B752F" w:rsidRDefault="00F6293A" w:rsidP="00F6293A">
            <w:pPr>
              <w:pStyle w:val="ListParagraph"/>
              <w:numPr>
                <w:ilvl w:val="0"/>
                <w:numId w:val="6"/>
              </w:numPr>
            </w:pPr>
            <w:r>
              <w:t>Include DCT Level (DCT1) and special</w:t>
            </w:r>
            <w:r w:rsidR="004808F9">
              <w:t>t</w:t>
            </w:r>
            <w:r>
              <w:t>ies</w:t>
            </w:r>
            <w:r w:rsidR="004808F9">
              <w:t xml:space="preserve"> </w:t>
            </w:r>
            <w:r w:rsidR="0027645D">
              <w:t>Oral Surgery/Orthodontics/Restorative/Paed</w:t>
            </w:r>
            <w:r w:rsidR="004808F9">
              <w:t>iatric Dentistry</w:t>
            </w:r>
          </w:p>
          <w:p w14:paraId="71D4593C" w14:textId="1CC667A9" w:rsidR="00F6293A" w:rsidRDefault="004808F9" w:rsidP="00BC5E55">
            <w:pPr>
              <w:pStyle w:val="ListParagraph"/>
              <w:numPr>
                <w:ilvl w:val="0"/>
                <w:numId w:val="6"/>
              </w:numPr>
            </w:pPr>
            <w:r>
              <w:t>O</w:t>
            </w:r>
            <w:r w:rsidR="00F6293A">
              <w:t xml:space="preserve">verall duration of </w:t>
            </w:r>
            <w:r w:rsidR="0027645D">
              <w:t>2 years</w:t>
            </w:r>
          </w:p>
          <w:p w14:paraId="3707B087" w14:textId="77777777" w:rsidR="00BD6DCA" w:rsidRDefault="00BD6DCA"/>
        </w:tc>
      </w:tr>
      <w:tr w:rsidR="00255CE6" w14:paraId="78D73429" w14:textId="77777777" w:rsidTr="468078E6">
        <w:tc>
          <w:tcPr>
            <w:tcW w:w="993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4B3EB863" w14:textId="0BFAF2BB" w:rsidR="00255CE6" w:rsidRDefault="0027645D" w:rsidP="00BC5E55">
            <w:r>
              <w:t>Mainly based at Castle Hill Hospital Hull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468078E6">
        <w:tc>
          <w:tcPr>
            <w:tcW w:w="993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53C8000C" w14:textId="124B3583" w:rsidR="00123F94" w:rsidRDefault="0027645D" w:rsidP="00123F94">
            <w:pPr>
              <w:pStyle w:val="ListParagraph"/>
              <w:numPr>
                <w:ilvl w:val="0"/>
                <w:numId w:val="3"/>
              </w:numPr>
            </w:pPr>
            <w:r>
              <w:t>The post offers a variable timetable</w:t>
            </w:r>
            <w:r w:rsidR="00A810DA">
              <w:t xml:space="preserve"> </w:t>
            </w:r>
            <w:r w:rsidR="004808F9">
              <w:t>alternating</w:t>
            </w:r>
            <w:r>
              <w:t xml:space="preserve"> between primary and secondary care on a weekly basis</w:t>
            </w:r>
          </w:p>
          <w:p w14:paraId="7094C13F" w14:textId="5A21EFE3" w:rsidR="00123F94" w:rsidRDefault="0027645D" w:rsidP="00123F94">
            <w:pPr>
              <w:pStyle w:val="ListParagraph"/>
              <w:numPr>
                <w:ilvl w:val="0"/>
                <w:numId w:val="3"/>
              </w:numPr>
            </w:pPr>
            <w:r>
              <w:t xml:space="preserve">There is exposure to orthodontics and restorative at CHH and </w:t>
            </w:r>
            <w:r w:rsidR="004808F9">
              <w:t>Y</w:t>
            </w:r>
            <w:r>
              <w:t xml:space="preserve">r 2 has further rotation into </w:t>
            </w:r>
            <w:r w:rsidR="004808F9">
              <w:t>C</w:t>
            </w:r>
            <w:r>
              <w:t>ommunity/</w:t>
            </w:r>
            <w:r w:rsidR="004808F9">
              <w:t>P</w:t>
            </w:r>
            <w:r>
              <w:t>aed</w:t>
            </w:r>
            <w:r w:rsidR="004808F9">
              <w:t>iatric Dentistry</w:t>
            </w:r>
          </w:p>
          <w:p w14:paraId="2BF8D774" w14:textId="72832927" w:rsidR="005B752F" w:rsidRDefault="0027645D" w:rsidP="00123F94">
            <w:pPr>
              <w:pStyle w:val="ListParagraph"/>
              <w:numPr>
                <w:ilvl w:val="0"/>
                <w:numId w:val="3"/>
              </w:numPr>
            </w:pPr>
            <w:r>
              <w:t xml:space="preserve">There is a slightly heavier weighting for </w:t>
            </w:r>
            <w:r w:rsidR="004808F9">
              <w:t>O</w:t>
            </w:r>
            <w:r>
              <w:t xml:space="preserve">ral </w:t>
            </w:r>
            <w:r w:rsidR="004808F9">
              <w:t>S</w:t>
            </w:r>
            <w:r>
              <w:t xml:space="preserve">urgery than the other </w:t>
            </w:r>
            <w:r w:rsidR="003D490F">
              <w:t>mono specialities</w:t>
            </w:r>
            <w:r>
              <w:t>.</w:t>
            </w:r>
          </w:p>
          <w:p w14:paraId="3AF8970E" w14:textId="77777777" w:rsidR="00BD6DCA" w:rsidRDefault="00BD6DCA" w:rsidP="00123F94"/>
        </w:tc>
      </w:tr>
      <w:tr w:rsidR="005B752F" w14:paraId="4B797604" w14:textId="77777777" w:rsidTr="468078E6">
        <w:tc>
          <w:tcPr>
            <w:tcW w:w="993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20CBF4C2" w14:textId="360618FF" w:rsidR="005B752F" w:rsidRDefault="0027645D">
            <w:r>
              <w:t>Dept of OMFS, Castle Hill Hospital, Castle Road, Cottingham, Hull.</w:t>
            </w:r>
          </w:p>
        </w:tc>
      </w:tr>
      <w:tr w:rsidR="005B752F" w14:paraId="5BBC6D4F" w14:textId="77777777" w:rsidTr="468078E6">
        <w:tc>
          <w:tcPr>
            <w:tcW w:w="993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294A590C" w14:textId="7AF6A715" w:rsidR="005B752F" w:rsidRDefault="0027645D" w:rsidP="00A810DA">
            <w:pPr>
              <w:pStyle w:val="ListParagraph"/>
              <w:numPr>
                <w:ilvl w:val="0"/>
                <w:numId w:val="4"/>
              </w:numPr>
            </w:pPr>
            <w:r>
              <w:t>Buses are available between HUTH hospitals if required.</w:t>
            </w:r>
          </w:p>
          <w:p w14:paraId="016D5E04" w14:textId="77777777" w:rsidR="00BD6DCA" w:rsidRDefault="00BD6DCA"/>
        </w:tc>
      </w:tr>
      <w:tr w:rsidR="005B752F" w14:paraId="73221599" w14:textId="77777777" w:rsidTr="468078E6">
        <w:tc>
          <w:tcPr>
            <w:tcW w:w="993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4CB5BBC1" w14:textId="1B4CD901" w:rsidR="005B752F" w:rsidRDefault="0027645D">
            <w:r>
              <w:t>Mr P Brotherton is T</w:t>
            </w:r>
            <w:r w:rsidR="000F17FE">
              <w:t xml:space="preserve">raining </w:t>
            </w:r>
            <w:r>
              <w:t>P</w:t>
            </w:r>
            <w:r w:rsidR="000F17FE">
              <w:t xml:space="preserve">rogramme </w:t>
            </w:r>
            <w:r>
              <w:t>D</w:t>
            </w:r>
            <w:r w:rsidR="000F17FE">
              <w:t>irector</w:t>
            </w:r>
            <w:r>
              <w:t xml:space="preserve"> for the JDFCT’s in secondary care.</w:t>
            </w:r>
          </w:p>
          <w:p w14:paraId="472BB741" w14:textId="77777777" w:rsidR="00BD6DCA" w:rsidRDefault="00BD6DCA"/>
        </w:tc>
      </w:tr>
      <w:tr w:rsidR="00AB2FC4" w14:paraId="435971B4" w14:textId="77777777" w:rsidTr="468078E6">
        <w:tc>
          <w:tcPr>
            <w:tcW w:w="993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BABA804" w14:textId="590B9FD7" w:rsidR="00AB2FC4" w:rsidRDefault="0027645D">
            <w:r>
              <w:t>Peter.Brotherton1@nhs.net</w:t>
            </w:r>
          </w:p>
        </w:tc>
      </w:tr>
      <w:tr w:rsidR="005B752F" w14:paraId="537840C5" w14:textId="77777777" w:rsidTr="468078E6">
        <w:tc>
          <w:tcPr>
            <w:tcW w:w="993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78F49498" w14:textId="505340B7" w:rsidR="005B752F" w:rsidRDefault="0027645D" w:rsidP="00CB25A8">
            <w:pPr>
              <w:pStyle w:val="ListParagraph"/>
              <w:numPr>
                <w:ilvl w:val="0"/>
                <w:numId w:val="4"/>
              </w:numPr>
            </w:pPr>
            <w:r>
              <w:t xml:space="preserve">This post is in a well-established training unit with a high </w:t>
            </w:r>
            <w:r w:rsidR="00C86049">
              <w:t>number</w:t>
            </w:r>
            <w:r>
              <w:t xml:space="preserve"> of trainees staying on with us. We offer one to one teaching in MOS and </w:t>
            </w:r>
            <w:r w:rsidR="004808F9">
              <w:t>O</w:t>
            </w:r>
            <w:r>
              <w:t xml:space="preserve">ral </w:t>
            </w:r>
            <w:r w:rsidR="004808F9">
              <w:t>S</w:t>
            </w:r>
            <w:r>
              <w:t xml:space="preserve">urgery at </w:t>
            </w:r>
            <w:proofErr w:type="spellStart"/>
            <w:r w:rsidR="004808F9">
              <w:t>Da</w:t>
            </w:r>
            <w:r>
              <w:t>ycase</w:t>
            </w:r>
            <w:proofErr w:type="spellEnd"/>
            <w:r>
              <w:t xml:space="preserve"> GA level and attendance at consultant Orthodontic and Restorative clinics. Attendance is also available for OMFS clinics and </w:t>
            </w:r>
            <w:r w:rsidR="004808F9">
              <w:t>I</w:t>
            </w:r>
            <w:r>
              <w:t>np</w:t>
            </w:r>
            <w:r w:rsidR="004808F9">
              <w:t>a</w:t>
            </w:r>
            <w:r>
              <w:t>t</w:t>
            </w:r>
            <w:r w:rsidR="004808F9">
              <w:t>ient</w:t>
            </w:r>
            <w:r>
              <w:t xml:space="preserve"> operating.</w:t>
            </w:r>
            <w:r w:rsidR="00C86049">
              <w:t xml:space="preserve"> Clinical </w:t>
            </w:r>
            <w:r w:rsidR="004808F9">
              <w:t>G</w:t>
            </w:r>
            <w:r w:rsidR="00C86049">
              <w:t>overnance meetings are fashioned into the timetable to allow for presentations of audits/work.</w:t>
            </w:r>
          </w:p>
          <w:p w14:paraId="64636074" w14:textId="1EAA69FC" w:rsidR="005A2FEB" w:rsidRDefault="005A2FEB"/>
        </w:tc>
      </w:tr>
      <w:tr w:rsidR="00B55AB6" w14:paraId="2613F727" w14:textId="77777777" w:rsidTr="468078E6">
        <w:tc>
          <w:tcPr>
            <w:tcW w:w="993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314" w:type="dxa"/>
          </w:tcPr>
          <w:p w14:paraId="1DE6A9BF" w14:textId="77777777" w:rsidR="00B55AB6" w:rsidRPr="00BC5E55" w:rsidRDefault="00B55AB6" w:rsidP="00B55AB6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7FE02EA0" w:rsidR="00B55AB6" w:rsidRPr="00BC5E55" w:rsidRDefault="1733C8D1" w:rsidP="00BC5E55">
            <w:pPr>
              <w:jc w:val="center"/>
              <w:rPr>
                <w:b/>
                <w:bCs/>
              </w:rPr>
            </w:pPr>
            <w:r w:rsidRPr="468078E6">
              <w:rPr>
                <w:b/>
                <w:bCs/>
              </w:rPr>
              <w:t>YES</w:t>
            </w:r>
          </w:p>
        </w:tc>
        <w:tc>
          <w:tcPr>
            <w:tcW w:w="3065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11058BFB" w:rsidR="00B55AB6" w:rsidRPr="00F71E04" w:rsidRDefault="00B55AB6" w:rsidP="00B55AB6">
            <w:pPr>
              <w:jc w:val="center"/>
              <w:rPr>
                <w:b/>
                <w:bCs/>
              </w:rPr>
            </w:pP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B55AB6" w14:paraId="4886640B" w14:textId="77777777" w:rsidTr="468078E6">
        <w:tc>
          <w:tcPr>
            <w:tcW w:w="993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3550F191" w:rsidR="00B55AB6" w:rsidRDefault="00B55AB6" w:rsidP="468078E6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960B252" w14:textId="77777777" w:rsidR="00B55AB6" w:rsidRDefault="00B55AB6" w:rsidP="00B55AB6"/>
          <w:p w14:paraId="0DA5FC76" w14:textId="66FDB19A" w:rsidR="00B55AB6" w:rsidRDefault="0CF7AF88" w:rsidP="00BC5E55">
            <w:pPr>
              <w:jc w:val="center"/>
              <w:rPr>
                <w:b/>
                <w:bCs/>
              </w:rPr>
            </w:pPr>
            <w:r w:rsidRPr="468078E6">
              <w:rPr>
                <w:b/>
                <w:bCs/>
              </w:rPr>
              <w:t>NO</w:t>
            </w:r>
          </w:p>
          <w:p w14:paraId="3311AF7F" w14:textId="5E6F744C" w:rsidR="00B55AB6" w:rsidRDefault="00B55AB6" w:rsidP="00B55AB6"/>
        </w:tc>
      </w:tr>
      <w:tr w:rsidR="00B55AB6" w14:paraId="216C4369" w14:textId="77777777" w:rsidTr="468078E6">
        <w:tc>
          <w:tcPr>
            <w:tcW w:w="993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42522823" w14:textId="1C61F26D" w:rsidR="00B55AB6" w:rsidRDefault="003D490F" w:rsidP="003D490F">
            <w:pPr>
              <w:pStyle w:val="ListParagraph"/>
              <w:numPr>
                <w:ilvl w:val="0"/>
                <w:numId w:val="4"/>
              </w:numPr>
            </w:pPr>
            <w:r>
              <w:t xml:space="preserve">Please see below for a common form of timetable that should be self-explanatory on a </w:t>
            </w:r>
            <w:proofErr w:type="gramStart"/>
            <w:r>
              <w:t>day to day</w:t>
            </w:r>
            <w:proofErr w:type="gramEnd"/>
            <w:r>
              <w:t xml:space="preserve"> basis when in secondary care. This is subject to change occasionally.</w:t>
            </w:r>
          </w:p>
          <w:p w14:paraId="64750F5A" w14:textId="77777777" w:rsidR="003D490F" w:rsidRDefault="003D490F" w:rsidP="003D490F"/>
          <w:p w14:paraId="5DF8CA52" w14:textId="77777777" w:rsidR="003D490F" w:rsidRDefault="003D490F" w:rsidP="003D490F"/>
          <w:p w14:paraId="04E006A9" w14:textId="4CDCBC52" w:rsidR="003D490F" w:rsidRDefault="003D490F" w:rsidP="003D490F"/>
        </w:tc>
      </w:tr>
    </w:tbl>
    <w:tbl>
      <w:tblPr>
        <w:tblW w:w="6823" w:type="dxa"/>
        <w:tblLook w:val="04A0" w:firstRow="1" w:lastRow="0" w:firstColumn="1" w:lastColumn="0" w:noHBand="0" w:noVBand="1"/>
      </w:tblPr>
      <w:tblGrid>
        <w:gridCol w:w="1220"/>
        <w:gridCol w:w="1220"/>
        <w:gridCol w:w="1143"/>
        <w:gridCol w:w="1249"/>
        <w:gridCol w:w="1080"/>
        <w:gridCol w:w="980"/>
      </w:tblGrid>
      <w:tr w:rsidR="003D490F" w:rsidRPr="003D490F" w14:paraId="2AC72D13" w14:textId="77777777" w:rsidTr="468078E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noWrap/>
            <w:vAlign w:val="bottom"/>
            <w:hideMark/>
          </w:tcPr>
          <w:p w14:paraId="60FE675E" w14:textId="3263A34D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lastRenderedPageBreak/>
              <w:t xml:space="preserve">In pt theatre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noWrap/>
            <w:vAlign w:val="bottom"/>
            <w:hideMark/>
          </w:tcPr>
          <w:p w14:paraId="555DA78A" w14:textId="1C0D258B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>Clinic</w:t>
            </w:r>
            <w:r w:rsidRPr="468078E6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7D31" w:themeFill="accent2"/>
            <w:noWrap/>
            <w:vAlign w:val="bottom"/>
            <w:hideMark/>
          </w:tcPr>
          <w:p w14:paraId="37A435F1" w14:textId="4A40F990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 xml:space="preserve">Admin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7D31" w:themeFill="accent2"/>
            <w:noWrap/>
            <w:vAlign w:val="bottom"/>
          </w:tcPr>
          <w:p w14:paraId="186FBEA7" w14:textId="0713557C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>Ward/MOS</w:t>
            </w:r>
            <w:r w:rsidRPr="468078E6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noWrap/>
            <w:vAlign w:val="bottom"/>
            <w:hideMark/>
          </w:tcPr>
          <w:p w14:paraId="661509C5" w14:textId="2257964B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>Th CHH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noWrap/>
            <w:vAlign w:val="bottom"/>
            <w:hideMark/>
          </w:tcPr>
          <w:p w14:paraId="1A4A3890" w14:textId="372903C0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 xml:space="preserve">MOS </w:t>
            </w:r>
          </w:p>
        </w:tc>
      </w:tr>
      <w:tr w:rsidR="003D490F" w:rsidRPr="003D490F" w14:paraId="67F800CB" w14:textId="77777777" w:rsidTr="468078E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noWrap/>
            <w:vAlign w:val="bottom"/>
            <w:hideMark/>
          </w:tcPr>
          <w:p w14:paraId="3030C9DC" w14:textId="16E32A5E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 xml:space="preserve">In pt theatre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noWrap/>
            <w:vAlign w:val="bottom"/>
            <w:hideMark/>
          </w:tcPr>
          <w:p w14:paraId="6212FA46" w14:textId="09E0812A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 xml:space="preserve">MOS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noWrap/>
            <w:vAlign w:val="bottom"/>
            <w:hideMark/>
          </w:tcPr>
          <w:p w14:paraId="63ED2ED7" w14:textId="74663F9B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 xml:space="preserve">Head and Neck clinic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noWrap/>
            <w:vAlign w:val="bottom"/>
            <w:hideMark/>
          </w:tcPr>
          <w:p w14:paraId="1DD218C1" w14:textId="6866FB06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 xml:space="preserve">Ward/MOS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0B5F4EB4" w14:textId="587B0005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 xml:space="preserve">Th </w:t>
            </w:r>
            <w:proofErr w:type="spellStart"/>
            <w:r w:rsidRPr="468078E6">
              <w:rPr>
                <w:rFonts w:ascii="Aptos" w:eastAsia="Aptos" w:hAnsi="Aptos" w:cs="Aptos"/>
                <w:color w:val="000000" w:themeColor="text1"/>
              </w:rPr>
              <w:t>Chh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hideMark/>
          </w:tcPr>
          <w:p w14:paraId="630B0A37" w14:textId="1C417604" w:rsidR="468078E6" w:rsidRDefault="468078E6" w:rsidP="468078E6">
            <w:pPr>
              <w:spacing w:line="257" w:lineRule="auto"/>
            </w:pPr>
            <w:r w:rsidRPr="468078E6">
              <w:rPr>
                <w:rFonts w:ascii="Aptos" w:eastAsia="Aptos" w:hAnsi="Aptos" w:cs="Aptos"/>
                <w:color w:val="000000" w:themeColor="text1"/>
              </w:rPr>
              <w:t xml:space="preserve"> Study</w:t>
            </w:r>
          </w:p>
        </w:tc>
      </w:tr>
    </w:tbl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55"/>
        <w:gridCol w:w="3587"/>
        <w:gridCol w:w="6516"/>
      </w:tblGrid>
      <w:tr w:rsidR="00B55AB6" w14:paraId="6C346757" w14:textId="77777777" w:rsidTr="468078E6">
        <w:tc>
          <w:tcPr>
            <w:tcW w:w="993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</w:tcPr>
          <w:p w14:paraId="6B4479D8" w14:textId="4A738DC4" w:rsidR="000F17FE" w:rsidRDefault="000F17FE" w:rsidP="00B55AB6">
            <w:pPr>
              <w:pStyle w:val="ListParagraph"/>
              <w:numPr>
                <w:ilvl w:val="0"/>
                <w:numId w:val="5"/>
              </w:numPr>
            </w:pPr>
            <w:r>
              <w:t xml:space="preserve">Educational </w:t>
            </w:r>
            <w:r w:rsidR="00787A76">
              <w:t>D</w:t>
            </w:r>
            <w:r>
              <w:t xml:space="preserve">eanery </w:t>
            </w:r>
            <w:proofErr w:type="gramStart"/>
            <w:r w:rsidR="00787A76">
              <w:t>S</w:t>
            </w:r>
            <w:r>
              <w:t xml:space="preserve">tudy </w:t>
            </w:r>
            <w:r w:rsidR="00787A76">
              <w:t>day</w:t>
            </w:r>
            <w:proofErr w:type="gramEnd"/>
            <w:r w:rsidR="00787A76">
              <w:t xml:space="preserve"> P</w:t>
            </w:r>
            <w:r>
              <w:t xml:space="preserve">rogramme link </w:t>
            </w:r>
            <w:hyperlink r:id="rId7" w:history="1">
              <w:r w:rsidRPr="00024306">
                <w:rPr>
                  <w:rStyle w:val="Hyperlink"/>
                </w:rPr>
                <w:t>https://www.yorksandhumberdeanery.nhs.uk/dentistry/study-day-programmes</w:t>
              </w:r>
            </w:hyperlink>
          </w:p>
          <w:p w14:paraId="213F9587" w14:textId="4091C4E9" w:rsidR="00B55AB6" w:rsidRDefault="000F17FE" w:rsidP="00B55AB6">
            <w:pPr>
              <w:pStyle w:val="ListParagraph"/>
              <w:numPr>
                <w:ilvl w:val="0"/>
                <w:numId w:val="5"/>
              </w:numPr>
            </w:pPr>
            <w:r>
              <w:t xml:space="preserve">Additional teaching is given in house. </w:t>
            </w:r>
          </w:p>
          <w:p w14:paraId="02FD0871" w14:textId="531292D8" w:rsidR="00B55AB6" w:rsidRDefault="000F17FE" w:rsidP="00B55AB6">
            <w:pPr>
              <w:pStyle w:val="ListParagraph"/>
              <w:numPr>
                <w:ilvl w:val="0"/>
                <w:numId w:val="5"/>
              </w:numPr>
            </w:pPr>
            <w:r>
              <w:t xml:space="preserve">Study budget as per Yorkshire and Humber </w:t>
            </w:r>
            <w:r w:rsidR="00787A76">
              <w:t>D</w:t>
            </w:r>
            <w:r>
              <w:t xml:space="preserve">eanery </w:t>
            </w:r>
            <w:r w:rsidR="00787A76">
              <w:t>G</w:t>
            </w:r>
            <w:r>
              <w:t>uidance</w:t>
            </w:r>
          </w:p>
          <w:p w14:paraId="0E3A434C" w14:textId="77777777" w:rsidR="00B55AB6" w:rsidRDefault="00B55AB6" w:rsidP="00B55AB6"/>
        </w:tc>
      </w:tr>
      <w:tr w:rsidR="00B55AB6" w14:paraId="18A15174" w14:textId="77777777" w:rsidTr="468078E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468078E6">
        <w:tc>
          <w:tcPr>
            <w:tcW w:w="993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</w:tcPr>
          <w:p w14:paraId="599A7EC5" w14:textId="4C214EDC" w:rsidR="600A1C76" w:rsidRDefault="600A1C76" w:rsidP="468078E6">
            <w:pPr>
              <w:pStyle w:val="ListParagraph"/>
              <w:numPr>
                <w:ilvl w:val="0"/>
                <w:numId w:val="5"/>
              </w:numPr>
            </w:pPr>
            <w:r>
              <w:t>Hull University Teaching Hospitals</w:t>
            </w:r>
          </w:p>
          <w:p w14:paraId="15B33436" w14:textId="77777777" w:rsidR="00B55AB6" w:rsidRDefault="00B55AB6" w:rsidP="00B55AB6"/>
        </w:tc>
      </w:tr>
      <w:tr w:rsidR="00B55AB6" w14:paraId="4A997B1E" w14:textId="77777777" w:rsidTr="468078E6">
        <w:tc>
          <w:tcPr>
            <w:tcW w:w="993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</w:tcPr>
          <w:p w14:paraId="6ECBB80A" w14:textId="5C469FA6" w:rsidR="000F17FE" w:rsidRDefault="000F17FE" w:rsidP="00B55AB6">
            <w:pPr>
              <w:pStyle w:val="ListParagraph"/>
              <w:numPr>
                <w:ilvl w:val="0"/>
                <w:numId w:val="5"/>
              </w:numPr>
            </w:pPr>
            <w:r>
              <w:t xml:space="preserve">TPD link is </w:t>
            </w:r>
            <w:hyperlink r:id="rId8" w:history="1">
              <w:r w:rsidRPr="00024306">
                <w:rPr>
                  <w:rStyle w:val="Hyperlink"/>
                </w:rPr>
                <w:t>Peter.Brotherton1@nhs.net</w:t>
              </w:r>
            </w:hyperlink>
          </w:p>
          <w:p w14:paraId="6EB957C8" w14:textId="7C2BCCE3" w:rsidR="00B55AB6" w:rsidRDefault="000F17FE" w:rsidP="00B55AB6">
            <w:pPr>
              <w:pStyle w:val="ListParagraph"/>
              <w:numPr>
                <w:ilvl w:val="0"/>
                <w:numId w:val="5"/>
              </w:numPr>
            </w:pPr>
            <w:r>
              <w:t>Lead for DCT in Human Resources is Joey Robson</w:t>
            </w:r>
            <w:r w:rsidRPr="000F17FE">
              <w:t xml:space="preserve"> joey.robson@nhs.net</w:t>
            </w:r>
          </w:p>
          <w:p w14:paraId="7060BF58" w14:textId="77777777" w:rsidR="00B55AB6" w:rsidRDefault="00B55AB6" w:rsidP="00B55AB6"/>
        </w:tc>
      </w:tr>
      <w:tr w:rsidR="00B55AB6" w14:paraId="245C7C52" w14:textId="77777777" w:rsidTr="468078E6">
        <w:tc>
          <w:tcPr>
            <w:tcW w:w="993" w:type="dxa"/>
          </w:tcPr>
          <w:p w14:paraId="7D151A51" w14:textId="14ACD886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</w:tcPr>
          <w:p w14:paraId="7824A89D" w14:textId="0DD12176" w:rsidR="00B55AB6" w:rsidRDefault="000F17FE" w:rsidP="00B55AB6">
            <w:r>
              <w:t xml:space="preserve">HUTH website is </w:t>
            </w:r>
            <w:hyperlink r:id="rId9" w:history="1">
              <w:r w:rsidR="00787A76" w:rsidRPr="003164C1">
                <w:rPr>
                  <w:rStyle w:val="Hyperlink"/>
                </w:rPr>
                <w:t>https://www.hull.nhs.uk/</w:t>
              </w:r>
            </w:hyperlink>
            <w:r w:rsidR="00787A76">
              <w:t xml:space="preserve"> </w:t>
            </w:r>
          </w:p>
          <w:p w14:paraId="5D47BE4D" w14:textId="77777777" w:rsidR="00B55AB6" w:rsidRDefault="00B55AB6" w:rsidP="00B55AB6"/>
        </w:tc>
      </w:tr>
    </w:tbl>
    <w:p w14:paraId="739459F0" w14:textId="04A25C2F" w:rsidR="009A14E0" w:rsidRDefault="009A14E0" w:rsidP="005B752F"/>
    <w:sectPr w:rsidR="009A14E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A5EE" w14:textId="77777777" w:rsidR="009369A6" w:rsidRDefault="009369A6" w:rsidP="005B752F">
      <w:pPr>
        <w:spacing w:after="0" w:line="240" w:lineRule="auto"/>
      </w:pPr>
      <w:r>
        <w:separator/>
      </w:r>
    </w:p>
  </w:endnote>
  <w:endnote w:type="continuationSeparator" w:id="0">
    <w:p w14:paraId="59112213" w14:textId="77777777" w:rsidR="009369A6" w:rsidRDefault="009369A6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ECA78" w14:textId="77777777" w:rsidR="009369A6" w:rsidRDefault="009369A6" w:rsidP="005B752F">
      <w:pPr>
        <w:spacing w:after="0" w:line="240" w:lineRule="auto"/>
      </w:pPr>
      <w:r>
        <w:separator/>
      </w:r>
    </w:p>
  </w:footnote>
  <w:footnote w:type="continuationSeparator" w:id="0">
    <w:p w14:paraId="5E8530CE" w14:textId="77777777" w:rsidR="009369A6" w:rsidRDefault="009369A6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2551" w14:textId="70F98ED2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Pr="00AA2F78">
      <w:rPr>
        <w:b/>
        <w:bCs/>
        <w:sz w:val="32"/>
        <w:szCs w:val="32"/>
      </w:rPr>
      <w:t>4</w:t>
    </w:r>
    <w:r w:rsidR="00124D99">
      <w:rPr>
        <w:b/>
        <w:bCs/>
        <w:sz w:val="32"/>
        <w:szCs w:val="32"/>
      </w:rPr>
      <w:t>/25</w:t>
    </w:r>
  </w:p>
  <w:p w14:paraId="2395DBB8" w14:textId="191B9E26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4808F9">
      <w:rPr>
        <w:b/>
        <w:bCs/>
        <w:sz w:val="32"/>
        <w:szCs w:val="32"/>
      </w:rPr>
      <w:t>Yorkshire and Humber</w:t>
    </w:r>
  </w:p>
  <w:p w14:paraId="6BDB73FF" w14:textId="5E8FDB8D" w:rsidR="004808F9" w:rsidRPr="004E1773" w:rsidRDefault="004808F9" w:rsidP="004808F9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Hull University Teaching Hospitals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5"/>
  </w:num>
  <w:num w:numId="2" w16cid:durableId="16153058">
    <w:abstractNumId w:val="2"/>
  </w:num>
  <w:num w:numId="3" w16cid:durableId="276955888">
    <w:abstractNumId w:val="4"/>
  </w:num>
  <w:num w:numId="4" w16cid:durableId="2008286645">
    <w:abstractNumId w:val="3"/>
  </w:num>
  <w:num w:numId="5" w16cid:durableId="1067996138">
    <w:abstractNumId w:val="0"/>
  </w:num>
  <w:num w:numId="6" w16cid:durableId="18901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91CED"/>
    <w:rsid w:val="000E07AC"/>
    <w:rsid w:val="000F17FE"/>
    <w:rsid w:val="000F31E9"/>
    <w:rsid w:val="00123F94"/>
    <w:rsid w:val="00124D99"/>
    <w:rsid w:val="00154872"/>
    <w:rsid w:val="00184839"/>
    <w:rsid w:val="00197FCD"/>
    <w:rsid w:val="001E0DEC"/>
    <w:rsid w:val="00231BF0"/>
    <w:rsid w:val="00242600"/>
    <w:rsid w:val="0024489F"/>
    <w:rsid w:val="00255CE6"/>
    <w:rsid w:val="0027645D"/>
    <w:rsid w:val="00280052"/>
    <w:rsid w:val="002B3EDC"/>
    <w:rsid w:val="002B4FE4"/>
    <w:rsid w:val="002D4A0B"/>
    <w:rsid w:val="002F12EE"/>
    <w:rsid w:val="00307A1E"/>
    <w:rsid w:val="0031787C"/>
    <w:rsid w:val="003D490F"/>
    <w:rsid w:val="004545AC"/>
    <w:rsid w:val="0045655D"/>
    <w:rsid w:val="004808F9"/>
    <w:rsid w:val="00481E53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631FE1"/>
    <w:rsid w:val="006508B8"/>
    <w:rsid w:val="00665F9F"/>
    <w:rsid w:val="006B646B"/>
    <w:rsid w:val="006D6547"/>
    <w:rsid w:val="006E7F66"/>
    <w:rsid w:val="00712042"/>
    <w:rsid w:val="007308F1"/>
    <w:rsid w:val="00781309"/>
    <w:rsid w:val="00782470"/>
    <w:rsid w:val="00787A76"/>
    <w:rsid w:val="007D5676"/>
    <w:rsid w:val="007E106E"/>
    <w:rsid w:val="007F3483"/>
    <w:rsid w:val="008120A5"/>
    <w:rsid w:val="00813434"/>
    <w:rsid w:val="00845AFE"/>
    <w:rsid w:val="0085193B"/>
    <w:rsid w:val="00870CBC"/>
    <w:rsid w:val="00880787"/>
    <w:rsid w:val="009369A6"/>
    <w:rsid w:val="0096005E"/>
    <w:rsid w:val="00966B40"/>
    <w:rsid w:val="009A14E0"/>
    <w:rsid w:val="009C0797"/>
    <w:rsid w:val="009D781E"/>
    <w:rsid w:val="00A07C04"/>
    <w:rsid w:val="00A62C81"/>
    <w:rsid w:val="00A810DA"/>
    <w:rsid w:val="00AA2F78"/>
    <w:rsid w:val="00AA45A9"/>
    <w:rsid w:val="00AA603F"/>
    <w:rsid w:val="00AB2FC4"/>
    <w:rsid w:val="00AC4598"/>
    <w:rsid w:val="00AF1DB3"/>
    <w:rsid w:val="00B07A8C"/>
    <w:rsid w:val="00B102D7"/>
    <w:rsid w:val="00B1509B"/>
    <w:rsid w:val="00B55AB6"/>
    <w:rsid w:val="00BA2EB4"/>
    <w:rsid w:val="00BB1503"/>
    <w:rsid w:val="00BC5E55"/>
    <w:rsid w:val="00BD6DCA"/>
    <w:rsid w:val="00BE33AD"/>
    <w:rsid w:val="00BF6711"/>
    <w:rsid w:val="00C03D1A"/>
    <w:rsid w:val="00C2545F"/>
    <w:rsid w:val="00C339BA"/>
    <w:rsid w:val="00C86049"/>
    <w:rsid w:val="00CB25A8"/>
    <w:rsid w:val="00CB4D06"/>
    <w:rsid w:val="00D252F6"/>
    <w:rsid w:val="00D327D3"/>
    <w:rsid w:val="00D417DC"/>
    <w:rsid w:val="00D735AE"/>
    <w:rsid w:val="00D83EFF"/>
    <w:rsid w:val="00DB2F37"/>
    <w:rsid w:val="00DB58EA"/>
    <w:rsid w:val="00DC13F2"/>
    <w:rsid w:val="00E04DC2"/>
    <w:rsid w:val="00E21623"/>
    <w:rsid w:val="00E305A0"/>
    <w:rsid w:val="00E44964"/>
    <w:rsid w:val="00E70D57"/>
    <w:rsid w:val="00E91CCF"/>
    <w:rsid w:val="00EE5F44"/>
    <w:rsid w:val="00F10946"/>
    <w:rsid w:val="00F31CBA"/>
    <w:rsid w:val="00F407B1"/>
    <w:rsid w:val="00F51D1A"/>
    <w:rsid w:val="00F6293A"/>
    <w:rsid w:val="00F71E04"/>
    <w:rsid w:val="00FF0D1E"/>
    <w:rsid w:val="0CF7AF88"/>
    <w:rsid w:val="143E1D7F"/>
    <w:rsid w:val="15B73E51"/>
    <w:rsid w:val="1733C8D1"/>
    <w:rsid w:val="2ED9EF33"/>
    <w:rsid w:val="355C896A"/>
    <w:rsid w:val="355E5BB2"/>
    <w:rsid w:val="36F9409A"/>
    <w:rsid w:val="38BDA2C3"/>
    <w:rsid w:val="43C47A5F"/>
    <w:rsid w:val="468078E6"/>
    <w:rsid w:val="600A1C76"/>
    <w:rsid w:val="6ACE7E34"/>
    <w:rsid w:val="6F7B674D"/>
    <w:rsid w:val="7418518D"/>
    <w:rsid w:val="767D535B"/>
    <w:rsid w:val="7C8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Brotherton1@nhs.ne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yorksandhumberdeanery.nhs.uk/dentistry/study-day-programm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ull.nhs.uk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75A381E16624EA7C4F9993F732BA9" ma:contentTypeVersion="10" ma:contentTypeDescription="Create a new document." ma:contentTypeScope="" ma:versionID="901343b6b3675d8f57758187944845dc">
  <xsd:schema xmlns:xsd="http://www.w3.org/2001/XMLSchema" xmlns:xs="http://www.w3.org/2001/XMLSchema" xmlns:p="http://schemas.microsoft.com/office/2006/metadata/properties" xmlns:ns1="http://schemas.microsoft.com/sharepoint/v3" xmlns:ns2="62f71338-7c8c-457e-b831-8f237d3ece7e" targetNamespace="http://schemas.microsoft.com/office/2006/metadata/properties" ma:root="true" ma:fieldsID="91ed1e5885b5f1913cf3c8ad8d5d2c5d" ns1:_="" ns2:_="">
    <xsd:import namespace="http://schemas.microsoft.com/sharepoint/v3"/>
    <xsd:import namespace="62f71338-7c8c-457e-b831-8f237d3ec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1338-7c8c-457e-b831-8f237d3e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04571C-3821-47A9-8908-65A81B771422}"/>
</file>

<file path=customXml/itemProps2.xml><?xml version="1.0" encoding="utf-8"?>
<ds:datastoreItem xmlns:ds="http://schemas.openxmlformats.org/officeDocument/2006/customXml" ds:itemID="{3768B501-EB87-47FC-8BBD-AACFFCF0D6D4}"/>
</file>

<file path=customXml/itemProps3.xml><?xml version="1.0" encoding="utf-8"?>
<ds:datastoreItem xmlns:ds="http://schemas.openxmlformats.org/officeDocument/2006/customXml" ds:itemID="{E6B11E10-5716-4114-9C20-20EFCA731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Pete Brotherton</cp:lastModifiedBy>
  <cp:revision>2</cp:revision>
  <dcterms:created xsi:type="dcterms:W3CDTF">2024-11-28T13:17:00Z</dcterms:created>
  <dcterms:modified xsi:type="dcterms:W3CDTF">2024-11-28T13:17:00Z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0x010100B3075A381E16624EA7C4F9993F732BA9</vt:lpwstr>
  </property>
</Properties>
</file>