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3724" w14:textId="70E76B67" w:rsidR="00B72132" w:rsidRDefault="00B72132" w:rsidP="00B72132">
      <w:pPr>
        <w:sectPr w:rsidR="00B72132" w:rsidSect="00B72132">
          <w:headerReference w:type="default" r:id="rId11"/>
          <w:headerReference w:type="first" r:id="rId12"/>
          <w:footerReference w:type="first" r:id="rId13"/>
          <w:pgSz w:w="11906" w:h="16838"/>
          <w:pgMar w:top="2268" w:right="1021" w:bottom="1021" w:left="1021" w:header="454" w:footer="556" w:gutter="0"/>
          <w:cols w:space="708"/>
          <w:titlePg/>
          <w:docGrid w:linePitch="360"/>
        </w:sectPr>
      </w:pPr>
    </w:p>
    <w:p w14:paraId="1EDA2567" w14:textId="7DF68A9D" w:rsidR="00532E95" w:rsidRDefault="00C12095" w:rsidP="00905552">
      <w:pPr>
        <w:pStyle w:val="Subheading"/>
        <w:rPr>
          <w:rFonts w:ascii="Arial" w:hAnsi="Arial"/>
          <w:color w:val="005EB8"/>
          <w:sz w:val="80"/>
        </w:rPr>
      </w:pPr>
      <w:r>
        <w:rPr>
          <w:rFonts w:ascii="Arial" w:hAnsi="Arial"/>
          <w:color w:val="005EB8"/>
          <w:sz w:val="80"/>
        </w:rPr>
        <w:t>Appointment</w:t>
      </w:r>
      <w:r w:rsidR="0008151B">
        <w:rPr>
          <w:rFonts w:ascii="Arial" w:hAnsi="Arial"/>
          <w:color w:val="005EB8"/>
          <w:sz w:val="80"/>
        </w:rPr>
        <w:t xml:space="preserve"> and Management</w:t>
      </w:r>
      <w:r>
        <w:rPr>
          <w:rFonts w:ascii="Arial" w:hAnsi="Arial"/>
          <w:color w:val="005EB8"/>
          <w:sz w:val="80"/>
        </w:rPr>
        <w:t xml:space="preserve"> of </w:t>
      </w:r>
      <w:r w:rsidR="001266D4">
        <w:rPr>
          <w:rFonts w:ascii="Arial" w:hAnsi="Arial"/>
          <w:color w:val="005EB8"/>
          <w:sz w:val="80"/>
        </w:rPr>
        <w:t xml:space="preserve">Integrated </w:t>
      </w:r>
      <w:r>
        <w:rPr>
          <w:rFonts w:ascii="Arial" w:hAnsi="Arial"/>
          <w:color w:val="005EB8"/>
          <w:sz w:val="80"/>
        </w:rPr>
        <w:t>Academic Trainees (</w:t>
      </w:r>
      <w:r w:rsidR="001266D4">
        <w:rPr>
          <w:rFonts w:ascii="Arial" w:hAnsi="Arial"/>
          <w:color w:val="005EB8"/>
          <w:sz w:val="80"/>
        </w:rPr>
        <w:t>I</w:t>
      </w:r>
      <w:r>
        <w:rPr>
          <w:rFonts w:ascii="Arial" w:hAnsi="Arial"/>
          <w:color w:val="005EB8"/>
          <w:sz w:val="80"/>
        </w:rPr>
        <w:t>AT)</w:t>
      </w:r>
    </w:p>
    <w:p w14:paraId="73DD1A4A" w14:textId="6023AE82" w:rsidR="00F126B3" w:rsidRDefault="00A721D8" w:rsidP="00905552">
      <w:pPr>
        <w:pStyle w:val="Subheading"/>
      </w:pPr>
      <w:r>
        <w:t>Standard Operating Procedure</w:t>
      </w:r>
    </w:p>
    <w:p w14:paraId="1AC14B60" w14:textId="3B0002F7" w:rsidR="00E65313" w:rsidRDefault="00F7514B" w:rsidP="00E65313">
      <w:pPr>
        <w:pStyle w:val="Heading5"/>
        <w:rPr>
          <w:rFonts w:hint="eastAsia"/>
        </w:rPr>
      </w:pPr>
      <w:r>
        <w:t>Speciality Training Programmes (STP) Directorate</w:t>
      </w:r>
      <w:r w:rsidR="00C12095">
        <w:t>, Yorkshire and the Humber Deanery</w:t>
      </w:r>
    </w:p>
    <w:p w14:paraId="0713CE99" w14:textId="4C6CFC49" w:rsidR="00D93150" w:rsidRDefault="00F7514B" w:rsidP="00E65313">
      <w:pPr>
        <w:pStyle w:val="Heading5"/>
        <w:rPr>
          <w:rFonts w:hint="eastAsia"/>
        </w:rPr>
      </w:pPr>
      <w:r>
        <w:t>March 2025</w:t>
      </w:r>
    </w:p>
    <w:p w14:paraId="07E9D4CA" w14:textId="697E5089" w:rsidR="009549AD" w:rsidRPr="009549AD" w:rsidRDefault="009549AD" w:rsidP="009549AD">
      <w:pPr>
        <w:rPr>
          <w:i/>
          <w:iCs/>
        </w:rPr>
      </w:pPr>
      <w:r w:rsidRPr="009549AD">
        <w:rPr>
          <w:i/>
          <w:iCs/>
        </w:rPr>
        <w:t xml:space="preserve">(To be reviewed </w:t>
      </w:r>
      <w:r w:rsidR="00F7514B">
        <w:rPr>
          <w:i/>
          <w:iCs/>
        </w:rPr>
        <w:t>March</w:t>
      </w:r>
      <w:r w:rsidRPr="009549AD">
        <w:rPr>
          <w:i/>
          <w:iCs/>
        </w:rPr>
        <w:t xml:space="preserve"> 202</w:t>
      </w:r>
      <w:r w:rsidR="00F7514B">
        <w:rPr>
          <w:i/>
          <w:iCs/>
        </w:rPr>
        <w:t>6</w:t>
      </w:r>
      <w:r w:rsidRPr="009549AD">
        <w:rPr>
          <w:i/>
          <w:iCs/>
        </w:rPr>
        <w:t>)</w:t>
      </w:r>
    </w:p>
    <w:p w14:paraId="204B0B39" w14:textId="3B25D7D2" w:rsidR="007375BC" w:rsidRPr="009549AD" w:rsidRDefault="00A721D8" w:rsidP="009549AD">
      <w:pPr>
        <w:pStyle w:val="Heading5"/>
        <w:rPr>
          <w:rFonts w:hint="eastAsia"/>
          <w:b w:val="0"/>
          <w:bCs/>
        </w:rPr>
        <w:sectPr w:rsidR="007375BC" w:rsidRPr="009549AD" w:rsidSect="00B72132">
          <w:footerReference w:type="default" r:id="rId14"/>
          <w:type w:val="continuous"/>
          <w:pgSz w:w="11906" w:h="16838"/>
          <w:pgMar w:top="1021" w:right="1021" w:bottom="1021" w:left="1021" w:header="454" w:footer="556" w:gutter="0"/>
          <w:cols w:space="708"/>
          <w:titlePg/>
          <w:docGrid w:linePitch="360"/>
        </w:sectPr>
      </w:pPr>
      <w:r w:rsidRPr="009549AD">
        <w:rPr>
          <w:b w:val="0"/>
          <w:bCs/>
          <w:noProof/>
        </w:rPr>
        <w:lastRenderedPageBreak/>
        <w:drawing>
          <wp:anchor distT="0" distB="0" distL="114300" distR="114300" simplePos="0" relativeHeight="251658240" behindDoc="0" locked="0" layoutInCell="1" allowOverlap="1" wp14:anchorId="75BD1A22" wp14:editId="4D1E8C6F">
            <wp:simplePos x="0" y="0"/>
            <wp:positionH relativeFrom="margin">
              <wp:align>left</wp:align>
            </wp:positionH>
            <wp:positionV relativeFrom="paragraph">
              <wp:posOffset>161760</wp:posOffset>
            </wp:positionV>
            <wp:extent cx="5175885" cy="3900805"/>
            <wp:effectExtent l="0" t="0" r="5715" b="4445"/>
            <wp:wrapSquare wrapText="bothSides"/>
            <wp:docPr id="1872496100" name="Picture 1872496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5175885" cy="3900805"/>
                    </a:xfrm>
                    <a:prstGeom prst="rect">
                      <a:avLst/>
                    </a:prstGeom>
                  </pic:spPr>
                </pic:pic>
              </a:graphicData>
            </a:graphic>
            <wp14:sizeRelH relativeFrom="margin">
              <wp14:pctWidth>0</wp14:pctWidth>
            </wp14:sizeRelH>
            <wp14:sizeRelV relativeFrom="margin">
              <wp14:pctHeight>0</wp14:pctHeight>
            </wp14:sizeRelV>
          </wp:anchor>
        </w:drawing>
      </w:r>
    </w:p>
    <w:p w14:paraId="577019F9" w14:textId="2DB8F6ED" w:rsidR="00E65313" w:rsidRPr="009549AD" w:rsidRDefault="003E57B6" w:rsidP="009549AD">
      <w:pPr>
        <w:pStyle w:val="Heading3"/>
        <w:rPr>
          <w:color w:val="auto"/>
          <w:kern w:val="2"/>
          <w:sz w:val="22"/>
          <w:lang w:eastAsia="en-GB"/>
        </w:rPr>
      </w:pPr>
      <w:r>
        <w:rPr>
          <w:color w:val="003087" w:themeColor="accent1"/>
        </w:rPr>
        <w:lastRenderedPageBreak/>
        <w:fldChar w:fldCharType="begin"/>
      </w:r>
      <w:r>
        <w:instrText xml:space="preserve"> TOC \o "1-3" \h \z \u </w:instrText>
      </w:r>
      <w:r>
        <w:rPr>
          <w:color w:val="003087" w:themeColor="accent1"/>
        </w:rPr>
        <w:fldChar w:fldCharType="separate"/>
      </w:r>
      <w:r>
        <w:rPr>
          <w:noProof/>
          <w:color w:val="231F20" w:themeColor="background1"/>
        </w:rPr>
        <w:fldChar w:fldCharType="end"/>
      </w:r>
      <w:bookmarkStart w:id="0" w:name="_Toc148106943"/>
      <w:bookmarkStart w:id="1" w:name="_Toc152856003"/>
      <w:r w:rsidR="00E65313" w:rsidRPr="002A7E93">
        <w:t>Document</w:t>
      </w:r>
      <w:r w:rsidR="00E65313">
        <w:t xml:space="preserve"> Status</w:t>
      </w:r>
      <w:bookmarkEnd w:id="0"/>
      <w:bookmarkEnd w:id="1"/>
    </w:p>
    <w:p w14:paraId="02A149CA" w14:textId="4D6356E7" w:rsidR="00E65313" w:rsidRPr="00651FCE" w:rsidRDefault="00E65313" w:rsidP="00E65313">
      <w:pPr>
        <w:pStyle w:val="BodyText"/>
      </w:pPr>
      <w:bookmarkStart w:id="2" w:name="_Toc65072035"/>
      <w:r w:rsidRPr="00651FCE">
        <w:t>This is a controlled document. Whilst this document may be printed, the electronic version is the controlled copy. Any printed copies of this document are not controlled. </w:t>
      </w:r>
    </w:p>
    <w:p w14:paraId="1AF95E00" w14:textId="5717FD95" w:rsidR="000F09E0" w:rsidRPr="00506FBE" w:rsidRDefault="00E65313" w:rsidP="00506FBE">
      <w:pPr>
        <w:pStyle w:val="BodyText"/>
        <w:rPr>
          <w:rFonts w:ascii="Segoe UI" w:hAnsi="Segoe UI" w:cs="Segoe UI"/>
          <w:sz w:val="18"/>
          <w:szCs w:val="18"/>
        </w:rPr>
      </w:pPr>
      <w:r w:rsidRPr="00651FCE">
        <w:t xml:space="preserve">This document is not intended to be interpreted as a policy statement. This is a </w:t>
      </w:r>
      <w:r w:rsidR="00CA3924">
        <w:t>local</w:t>
      </w:r>
      <w:r w:rsidRPr="00651FCE">
        <w:t xml:space="preserve"> guidance document for faculty and staff in </w:t>
      </w:r>
      <w:r w:rsidR="006E4817">
        <w:t>the Yorkshire and the Humber region</w:t>
      </w:r>
      <w:r>
        <w:t xml:space="preserve"> to enable consistency of application; it is recognised there may be exceptional circumstances when deviation from this guidance may be required</w:t>
      </w:r>
      <w:bookmarkEnd w:id="2"/>
      <w:r w:rsidR="00BB0F93">
        <w:t xml:space="preserve">. </w:t>
      </w:r>
    </w:p>
    <w:p w14:paraId="2080B4F7" w14:textId="77777777" w:rsidR="00E65313" w:rsidRDefault="1E5815DA" w:rsidP="3F598803">
      <w:pPr>
        <w:pStyle w:val="NumberedHeading1"/>
        <w:jc w:val="both"/>
      </w:pPr>
      <w:bookmarkStart w:id="3" w:name="_Toc148106945"/>
      <w:bookmarkStart w:id="4" w:name="_Toc152856004"/>
      <w:r>
        <w:t>Purpose of the Guidance</w:t>
      </w:r>
      <w:bookmarkEnd w:id="3"/>
      <w:bookmarkEnd w:id="4"/>
    </w:p>
    <w:p w14:paraId="33D4ACA1" w14:textId="0DF8EA4B" w:rsidR="00E65313" w:rsidRDefault="00E65313" w:rsidP="002313D4">
      <w:pPr>
        <w:pStyle w:val="NumberedHeading2"/>
      </w:pPr>
      <w:bookmarkStart w:id="5" w:name="_Toc152856005"/>
      <w:r>
        <w:t>Scope</w:t>
      </w:r>
      <w:bookmarkEnd w:id="5"/>
    </w:p>
    <w:p w14:paraId="623553DB" w14:textId="72B5A43F" w:rsidR="001823A9" w:rsidRDefault="001823A9" w:rsidP="001823A9">
      <w:r>
        <w:t xml:space="preserve">The following SOP </w:t>
      </w:r>
      <w:r w:rsidR="00F7514B">
        <w:t>outlines</w:t>
      </w:r>
      <w:r>
        <w:t xml:space="preserve"> the </w:t>
      </w:r>
      <w:r w:rsidR="00F7514B">
        <w:t xml:space="preserve">relevant steps that should be </w:t>
      </w:r>
      <w:r>
        <w:t>followed in</w:t>
      </w:r>
      <w:r w:rsidR="00F7514B">
        <w:t xml:space="preserve"> relation to</w:t>
      </w:r>
      <w:r>
        <w:t xml:space="preserve"> the appointment of Academic Clinical Fellows (ACF)</w:t>
      </w:r>
      <w:r w:rsidR="00F7514B">
        <w:t xml:space="preserve"> and Academic Clinical Lecturers (CL</w:t>
      </w:r>
      <w:r w:rsidR="00FB3653">
        <w:t>) within</w:t>
      </w:r>
      <w:r>
        <w:t xml:space="preserve"> the S</w:t>
      </w:r>
      <w:r w:rsidR="00F7514B">
        <w:t>pecialty Training Programmes (STP)</w:t>
      </w:r>
      <w:r w:rsidR="006A4DC7">
        <w:t xml:space="preserve"> Directorate</w:t>
      </w:r>
      <w:r w:rsidR="00F7514B">
        <w:t xml:space="preserve"> </w:t>
      </w:r>
      <w:r>
        <w:t>in Yorkshire and the Humber</w:t>
      </w:r>
      <w:r w:rsidR="006A4DC7">
        <w:t>.</w:t>
      </w:r>
    </w:p>
    <w:p w14:paraId="2C314296" w14:textId="79A1E012" w:rsidR="001823A9" w:rsidRDefault="00160612" w:rsidP="001823A9">
      <w:r>
        <w:t xml:space="preserve">This document originated within the School of Medicine working with TPDs and Academic Leads, and following input from other heads of School and Academic leads, forms the basis for collaborative working across all stakeholders </w:t>
      </w:r>
      <w:proofErr w:type="gramStart"/>
      <w:r>
        <w:t>in order to</w:t>
      </w:r>
      <w:proofErr w:type="gramEnd"/>
      <w:r>
        <w:t xml:space="preserve"> facilitate the delivery of high quality integrated academic training.</w:t>
      </w:r>
    </w:p>
    <w:p w14:paraId="78D44017" w14:textId="0B5191BB" w:rsidR="001823A9" w:rsidRDefault="00160612" w:rsidP="001823A9">
      <w:r>
        <w:t>Academic Clinical Fellow (</w:t>
      </w:r>
      <w:r w:rsidR="001823A9">
        <w:t>ACF</w:t>
      </w:r>
      <w:r>
        <w:t>)</w:t>
      </w:r>
      <w:r w:rsidR="001823A9">
        <w:t xml:space="preserve"> posts are currently offered at </w:t>
      </w:r>
      <w:r w:rsidR="00D928F8">
        <w:t>CT1/</w:t>
      </w:r>
      <w:r w:rsidR="001823A9">
        <w:t>ST1</w:t>
      </w:r>
      <w:r w:rsidR="008E791D">
        <w:t>-ST4</w:t>
      </w:r>
      <w:r w:rsidR="001823A9">
        <w:t xml:space="preserve"> grade</w:t>
      </w:r>
      <w:r w:rsidR="00D96D05">
        <w:t>s</w:t>
      </w:r>
      <w:r w:rsidR="008F55AB">
        <w:t xml:space="preserve"> to Postgraduate Doctors in Training (</w:t>
      </w:r>
      <w:proofErr w:type="spellStart"/>
      <w:r w:rsidR="008F55AB">
        <w:t>PGDiT</w:t>
      </w:r>
      <w:r w:rsidR="00861921">
        <w:t>s</w:t>
      </w:r>
      <w:proofErr w:type="spellEnd"/>
      <w:r w:rsidR="008F55AB">
        <w:t>).</w:t>
      </w:r>
    </w:p>
    <w:p w14:paraId="4C867DCC" w14:textId="5BA2C385" w:rsidR="003B714B" w:rsidRDefault="26FA9C66" w:rsidP="3F598803">
      <w:pPr>
        <w:rPr>
          <w:b/>
          <w:bCs/>
          <w:color w:val="005EB8" w:themeColor="text2"/>
          <w:sz w:val="28"/>
          <w:szCs w:val="28"/>
        </w:rPr>
      </w:pPr>
      <w:r>
        <w:t>Clinical Lecture (</w:t>
      </w:r>
      <w:r w:rsidR="1567BF29">
        <w:t>CL</w:t>
      </w:r>
      <w:r>
        <w:t>)</w:t>
      </w:r>
      <w:r w:rsidR="1567BF29">
        <w:t xml:space="preserve"> posts are currently offered at ST3 </w:t>
      </w:r>
      <w:r w:rsidR="0BF04F77">
        <w:t xml:space="preserve">grade </w:t>
      </w:r>
      <w:r w:rsidR="1567BF29">
        <w:t>and above</w:t>
      </w:r>
      <w:r w:rsidR="0BF04F77">
        <w:t>.</w:t>
      </w:r>
    </w:p>
    <w:p w14:paraId="57499C37" w14:textId="24252BE4" w:rsidR="003B714B" w:rsidRDefault="70D91FD5" w:rsidP="3F598803">
      <w:pPr>
        <w:rPr>
          <w:b/>
          <w:bCs/>
          <w:color w:val="005EB8" w:themeColor="text2"/>
          <w:sz w:val="28"/>
          <w:szCs w:val="28"/>
        </w:rPr>
      </w:pPr>
      <w:r w:rsidRPr="3F598803">
        <w:rPr>
          <w:b/>
          <w:bCs/>
          <w:color w:val="005EB8" w:themeColor="text2"/>
          <w:sz w:val="28"/>
          <w:szCs w:val="28"/>
        </w:rPr>
        <w:t>1.2 Allocation</w:t>
      </w:r>
      <w:r w:rsidR="41FD3837" w:rsidRPr="3F598803">
        <w:rPr>
          <w:b/>
          <w:bCs/>
          <w:color w:val="005EB8" w:themeColor="text2"/>
          <w:sz w:val="28"/>
          <w:szCs w:val="28"/>
        </w:rPr>
        <w:t xml:space="preserve"> Process</w:t>
      </w:r>
    </w:p>
    <w:p w14:paraId="5014AF32" w14:textId="77777777" w:rsidR="00F13AD5" w:rsidRPr="00661D2F" w:rsidRDefault="00F13AD5" w:rsidP="00F13AD5">
      <w:pPr>
        <w:pStyle w:val="BodyText"/>
        <w:rPr>
          <w:color w:val="auto"/>
        </w:rPr>
      </w:pPr>
      <w:r w:rsidRPr="00661D2F">
        <w:rPr>
          <w:color w:val="auto"/>
        </w:rPr>
        <w:t>There are two mechanisms for the award of funding for academic placements (ACF &amp; CL):</w:t>
      </w:r>
    </w:p>
    <w:p w14:paraId="4491E708" w14:textId="70DE8DC6" w:rsidR="00F13AD5" w:rsidRPr="00661D2F" w:rsidRDefault="00F13AD5" w:rsidP="00F13AD5">
      <w:pPr>
        <w:pStyle w:val="BodyText"/>
        <w:numPr>
          <w:ilvl w:val="0"/>
          <w:numId w:val="21"/>
        </w:numPr>
        <w:rPr>
          <w:color w:val="auto"/>
        </w:rPr>
      </w:pPr>
      <w:r w:rsidRPr="00661D2F">
        <w:rPr>
          <w:color w:val="auto"/>
        </w:rPr>
        <w:t xml:space="preserve">Through a </w:t>
      </w:r>
      <w:r w:rsidR="00B02793">
        <w:rPr>
          <w:color w:val="auto"/>
        </w:rPr>
        <w:t>f</w:t>
      </w:r>
      <w:r w:rsidRPr="00661D2F">
        <w:rPr>
          <w:color w:val="auto"/>
        </w:rPr>
        <w:t>ormal bidding process</w:t>
      </w:r>
      <w:r w:rsidR="00B02793">
        <w:rPr>
          <w:color w:val="auto"/>
        </w:rPr>
        <w:t xml:space="preserve"> undertaken every </w:t>
      </w:r>
      <w:r w:rsidR="00236B50">
        <w:rPr>
          <w:color w:val="auto"/>
        </w:rPr>
        <w:t xml:space="preserve">2 </w:t>
      </w:r>
      <w:proofErr w:type="gramStart"/>
      <w:r w:rsidR="00236B50">
        <w:rPr>
          <w:color w:val="auto"/>
        </w:rPr>
        <w:t>year</w:t>
      </w:r>
      <w:proofErr w:type="gramEnd"/>
      <w:r w:rsidR="00236B50">
        <w:rPr>
          <w:color w:val="auto"/>
        </w:rPr>
        <w:t>.</w:t>
      </w:r>
      <w:r w:rsidRPr="00661D2F">
        <w:rPr>
          <w:color w:val="auto"/>
        </w:rPr>
        <w:t xml:space="preserve"> Coordinated by NHSE YH (Academic Faculty/Clinical Faculty) and the local HEIs</w:t>
      </w:r>
    </w:p>
    <w:p w14:paraId="1313C294" w14:textId="71E806C3" w:rsidR="00F13AD5" w:rsidRPr="00661D2F" w:rsidRDefault="00F13AD5" w:rsidP="00661D2F">
      <w:pPr>
        <w:pStyle w:val="BodyText"/>
        <w:numPr>
          <w:ilvl w:val="0"/>
          <w:numId w:val="22"/>
        </w:numPr>
        <w:rPr>
          <w:color w:val="auto"/>
        </w:rPr>
      </w:pPr>
      <w:r w:rsidRPr="00661D2F">
        <w:rPr>
          <w:color w:val="auto"/>
        </w:rPr>
        <w:t>NIHR awarding direct funding for academic training in specific specialties, based on identified national need</w:t>
      </w:r>
    </w:p>
    <w:p w14:paraId="489BC9DB" w14:textId="77777777" w:rsidR="00604FD7" w:rsidRDefault="00B15F4B" w:rsidP="00821451">
      <w:pPr>
        <w:pStyle w:val="BodyText"/>
        <w:rPr>
          <w:color w:val="auto"/>
        </w:rPr>
      </w:pPr>
      <w:r w:rsidRPr="00661D2F">
        <w:rPr>
          <w:color w:val="auto"/>
        </w:rPr>
        <w:t xml:space="preserve">In relation to the annual bidding process (point 1), these </w:t>
      </w:r>
      <w:r w:rsidR="00821451" w:rsidRPr="00661D2F">
        <w:rPr>
          <w:color w:val="auto"/>
        </w:rPr>
        <w:t xml:space="preserve">bids are ‘non-specific’ as NIHR do not ask for </w:t>
      </w:r>
      <w:r w:rsidRPr="00661D2F">
        <w:rPr>
          <w:color w:val="auto"/>
        </w:rPr>
        <w:t xml:space="preserve">designated </w:t>
      </w:r>
      <w:r w:rsidR="00821451" w:rsidRPr="00661D2F">
        <w:rPr>
          <w:color w:val="auto"/>
        </w:rPr>
        <w:t>specialties at this point. The HEIs however will know which specialties they are to be based in and would subsequently approach the relevant Clinical TPDs</w:t>
      </w:r>
      <w:r w:rsidR="00D96898" w:rsidRPr="00661D2F">
        <w:rPr>
          <w:color w:val="auto"/>
        </w:rPr>
        <w:t xml:space="preserve"> accordingly</w:t>
      </w:r>
      <w:r w:rsidR="00821451" w:rsidRPr="00661D2F">
        <w:rPr>
          <w:color w:val="auto"/>
        </w:rPr>
        <w:t xml:space="preserve">. </w:t>
      </w:r>
      <w:r w:rsidR="00F43291" w:rsidRPr="00661D2F">
        <w:rPr>
          <w:color w:val="auto"/>
        </w:rPr>
        <w:t xml:space="preserve">Given the </w:t>
      </w:r>
      <w:r w:rsidR="00E13DAF" w:rsidRPr="00661D2F">
        <w:rPr>
          <w:color w:val="auto"/>
        </w:rPr>
        <w:t xml:space="preserve">very </w:t>
      </w:r>
      <w:r w:rsidR="00F43291" w:rsidRPr="00661D2F">
        <w:rPr>
          <w:color w:val="auto"/>
        </w:rPr>
        <w:t xml:space="preserve">short </w:t>
      </w:r>
      <w:r w:rsidR="00E13DAF" w:rsidRPr="00661D2F">
        <w:rPr>
          <w:color w:val="auto"/>
        </w:rPr>
        <w:t xml:space="preserve">time between the notification of the outcome of bids and the commencement of ACF recruitment, </w:t>
      </w:r>
      <w:r w:rsidR="00B165D7" w:rsidRPr="00661D2F">
        <w:rPr>
          <w:color w:val="auto"/>
        </w:rPr>
        <w:t>having this pre-agreement in place is of a critical importance.</w:t>
      </w:r>
    </w:p>
    <w:p w14:paraId="23BE8B94" w14:textId="77777777" w:rsidR="005E23B4" w:rsidRDefault="005E23B4" w:rsidP="00821451">
      <w:pPr>
        <w:pStyle w:val="BodyText"/>
        <w:rPr>
          <w:color w:val="auto"/>
        </w:rPr>
      </w:pPr>
    </w:p>
    <w:p w14:paraId="19225384" w14:textId="77777777" w:rsidR="005E23B4" w:rsidRDefault="005E23B4" w:rsidP="00821451">
      <w:pPr>
        <w:pStyle w:val="BodyText"/>
        <w:rPr>
          <w:color w:val="auto"/>
        </w:rPr>
      </w:pPr>
    </w:p>
    <w:p w14:paraId="46E6F942" w14:textId="77777777" w:rsidR="005E23B4" w:rsidRDefault="005E23B4" w:rsidP="00515BDD">
      <w:pPr>
        <w:rPr>
          <w:b/>
          <w:bCs/>
          <w:color w:val="005EB8" w:themeColor="text2"/>
          <w:sz w:val="28"/>
          <w:szCs w:val="28"/>
        </w:rPr>
      </w:pPr>
    </w:p>
    <w:p w14:paraId="5F0D8326" w14:textId="72767EAF" w:rsidR="00515BDD" w:rsidRDefault="00515BDD" w:rsidP="00515BDD">
      <w:pPr>
        <w:rPr>
          <w:b/>
          <w:bCs/>
          <w:color w:val="005EB8" w:themeColor="text2"/>
          <w:sz w:val="28"/>
          <w:szCs w:val="28"/>
        </w:rPr>
      </w:pPr>
      <w:r w:rsidRPr="3F598803">
        <w:rPr>
          <w:b/>
          <w:bCs/>
          <w:color w:val="005EB8" w:themeColor="text2"/>
          <w:sz w:val="28"/>
          <w:szCs w:val="28"/>
        </w:rPr>
        <w:t>1.</w:t>
      </w:r>
      <w:r>
        <w:rPr>
          <w:b/>
          <w:bCs/>
          <w:color w:val="005EB8" w:themeColor="text2"/>
          <w:sz w:val="28"/>
          <w:szCs w:val="28"/>
        </w:rPr>
        <w:t>3 Post Allocation</w:t>
      </w:r>
      <w:r w:rsidR="00396B3D">
        <w:rPr>
          <w:b/>
          <w:bCs/>
          <w:color w:val="005EB8" w:themeColor="text2"/>
          <w:sz w:val="28"/>
          <w:szCs w:val="28"/>
        </w:rPr>
        <w:t xml:space="preserve"> submissions</w:t>
      </w:r>
    </w:p>
    <w:p w14:paraId="0E9C46DE" w14:textId="24F1E908" w:rsidR="001F78CA" w:rsidRPr="001F78CA" w:rsidRDefault="00C7423D" w:rsidP="001F78CA">
      <w:pPr>
        <w:pStyle w:val="BodyText"/>
        <w:rPr>
          <w:color w:val="auto"/>
        </w:rPr>
      </w:pPr>
      <w:r>
        <w:rPr>
          <w:color w:val="auto"/>
        </w:rPr>
        <w:t xml:space="preserve">NIHR </w:t>
      </w:r>
      <w:r w:rsidR="00236B50">
        <w:rPr>
          <w:color w:val="auto"/>
        </w:rPr>
        <w:t xml:space="preserve">inform the HEIs of the outcome of their bids </w:t>
      </w:r>
      <w:r w:rsidR="000317EF">
        <w:rPr>
          <w:color w:val="auto"/>
        </w:rPr>
        <w:t>in June or July.</w:t>
      </w:r>
      <w:r w:rsidR="005E23B4">
        <w:rPr>
          <w:color w:val="auto"/>
        </w:rPr>
        <w:t xml:space="preserve"> </w:t>
      </w:r>
      <w:r w:rsidR="00460517">
        <w:rPr>
          <w:color w:val="auto"/>
        </w:rPr>
        <w:t>In August</w:t>
      </w:r>
      <w:r w:rsidR="00256FD7">
        <w:rPr>
          <w:color w:val="auto"/>
        </w:rPr>
        <w:t>/ September</w:t>
      </w:r>
      <w:r w:rsidR="00460517">
        <w:rPr>
          <w:color w:val="auto"/>
        </w:rPr>
        <w:t xml:space="preserve"> H</w:t>
      </w:r>
      <w:r w:rsidR="000317EF">
        <w:rPr>
          <w:color w:val="auto"/>
        </w:rPr>
        <w:t xml:space="preserve">EIs </w:t>
      </w:r>
      <w:proofErr w:type="gramStart"/>
      <w:r w:rsidR="000317EF">
        <w:rPr>
          <w:color w:val="auto"/>
        </w:rPr>
        <w:t>have to</w:t>
      </w:r>
      <w:proofErr w:type="gramEnd"/>
      <w:r w:rsidR="000317EF">
        <w:rPr>
          <w:color w:val="auto"/>
        </w:rPr>
        <w:t xml:space="preserve"> submit </w:t>
      </w:r>
      <w:r w:rsidR="00192EB3">
        <w:rPr>
          <w:color w:val="auto"/>
        </w:rPr>
        <w:t xml:space="preserve">confirmation of </w:t>
      </w:r>
      <w:r w:rsidR="00256FD7">
        <w:rPr>
          <w:color w:val="auto"/>
        </w:rPr>
        <w:t xml:space="preserve">the </w:t>
      </w:r>
      <w:r w:rsidR="00192EB3">
        <w:rPr>
          <w:color w:val="auto"/>
        </w:rPr>
        <w:t xml:space="preserve">GMC specialty spread for their ACF and CL posts for the </w:t>
      </w:r>
      <w:r w:rsidR="00110913">
        <w:rPr>
          <w:color w:val="auto"/>
        </w:rPr>
        <w:t>next year</w:t>
      </w:r>
      <w:r w:rsidR="00FE4089">
        <w:rPr>
          <w:color w:val="auto"/>
        </w:rPr>
        <w:t xml:space="preserve"> to NIHR</w:t>
      </w:r>
      <w:r w:rsidR="00460517">
        <w:rPr>
          <w:color w:val="auto"/>
        </w:rPr>
        <w:t xml:space="preserve">. </w:t>
      </w:r>
      <w:r w:rsidR="00FC7D23">
        <w:rPr>
          <w:color w:val="auto"/>
        </w:rPr>
        <w:t>Th</w:t>
      </w:r>
      <w:r w:rsidR="001D02BC">
        <w:rPr>
          <w:color w:val="auto"/>
        </w:rPr>
        <w:t>is</w:t>
      </w:r>
      <w:r w:rsidR="00FC7D23">
        <w:rPr>
          <w:color w:val="auto"/>
        </w:rPr>
        <w:t xml:space="preserve"> </w:t>
      </w:r>
      <w:r w:rsidR="001D02BC">
        <w:rPr>
          <w:color w:val="auto"/>
        </w:rPr>
        <w:t xml:space="preserve">submission confirms that </w:t>
      </w:r>
      <w:r w:rsidR="001D02BC" w:rsidRPr="00CC0B11">
        <w:rPr>
          <w:b/>
          <w:bCs/>
          <w:color w:val="auto"/>
        </w:rPr>
        <w:t xml:space="preserve">clinical TPDs have </w:t>
      </w:r>
      <w:r w:rsidR="006659ED" w:rsidRPr="00CC0B11">
        <w:rPr>
          <w:b/>
          <w:bCs/>
          <w:color w:val="auto"/>
        </w:rPr>
        <w:t>agreed</w:t>
      </w:r>
      <w:r w:rsidR="006659ED">
        <w:rPr>
          <w:color w:val="auto"/>
        </w:rPr>
        <w:t xml:space="preserve"> to host ACF and/or CL posts, </w:t>
      </w:r>
      <w:r w:rsidR="001B708C" w:rsidRPr="001B708C">
        <w:rPr>
          <w:color w:val="auto"/>
        </w:rPr>
        <w:t>providing an equivalent training environment to non-academic resident doctors. This includes an appropriate on call rota commitment, including pay supplements.</w:t>
      </w:r>
      <w:r w:rsidR="001F78CA">
        <w:rPr>
          <w:color w:val="auto"/>
        </w:rPr>
        <w:t xml:space="preserve"> Faculty members may be away over the summer and obtaining the agreements may be difficult at this point. Early conversations between academic and clinical faculty will facilitate the timely submission of these forms to NIHR. </w:t>
      </w:r>
    </w:p>
    <w:p w14:paraId="7101D3B2" w14:textId="2EE31D03" w:rsidR="00E65313" w:rsidRDefault="00BD6110" w:rsidP="001F78CA">
      <w:pPr>
        <w:pStyle w:val="NumberedHeading1"/>
        <w:numPr>
          <w:ilvl w:val="0"/>
          <w:numId w:val="21"/>
        </w:numPr>
      </w:pPr>
      <w:r>
        <w:t>Pre-</w:t>
      </w:r>
      <w:r w:rsidR="00B9326A">
        <w:t>advert Process</w:t>
      </w:r>
    </w:p>
    <w:p w14:paraId="2C0509B8" w14:textId="79AE9464" w:rsidR="00F15000" w:rsidRDefault="00F15000" w:rsidP="0093744D">
      <w:r>
        <w:t xml:space="preserve">The </w:t>
      </w:r>
      <w:r w:rsidR="00B6408D">
        <w:t>A</w:t>
      </w:r>
      <w:r>
        <w:t xml:space="preserve">cademic </w:t>
      </w:r>
      <w:r w:rsidR="0093744D">
        <w:t>l</w:t>
      </w:r>
      <w:r>
        <w:t xml:space="preserve">ead must liaise with the </w:t>
      </w:r>
      <w:r w:rsidR="00B6408D">
        <w:t>C</w:t>
      </w:r>
      <w:r>
        <w:t xml:space="preserve">linical TPD (in writing) BEFORE the post is released </w:t>
      </w:r>
      <w:r w:rsidR="0093744D">
        <w:t>for recruitment purposes.</w:t>
      </w:r>
    </w:p>
    <w:p w14:paraId="734A085A" w14:textId="7C463F6B" w:rsidR="00F15000" w:rsidRDefault="00F15000" w:rsidP="00F15000">
      <w:pPr>
        <w:pStyle w:val="ListParagraph"/>
        <w:numPr>
          <w:ilvl w:val="0"/>
          <w:numId w:val="18"/>
        </w:numPr>
      </w:pPr>
      <w:r>
        <w:t xml:space="preserve">The </w:t>
      </w:r>
      <w:r w:rsidR="00B6408D">
        <w:t>A</w:t>
      </w:r>
      <w:r>
        <w:t xml:space="preserve">cademic lead will confirm the grade of </w:t>
      </w:r>
      <w:r w:rsidR="009F5365">
        <w:t>training</w:t>
      </w:r>
      <w:r>
        <w:t xml:space="preserve"> being advertised to ensure there is sufficient space within the clinical training programme to accommodate </w:t>
      </w:r>
      <w:r w:rsidR="004F4CA8">
        <w:t xml:space="preserve">the </w:t>
      </w:r>
      <w:r w:rsidR="007F7028">
        <w:t>ACF</w:t>
      </w:r>
      <w:r w:rsidR="00133B66">
        <w:t xml:space="preserve"> or CL</w:t>
      </w:r>
      <w:r w:rsidR="004F4CA8">
        <w:t>.</w:t>
      </w:r>
      <w:r w:rsidR="0098087F">
        <w:t xml:space="preserve"> Where the curriculum requires out of hours on-call duties, this would also need to be confirmed.</w:t>
      </w:r>
    </w:p>
    <w:p w14:paraId="54FEB23F" w14:textId="18A24C02" w:rsidR="00F15000" w:rsidRDefault="00F15000" w:rsidP="004E08DF">
      <w:pPr>
        <w:pStyle w:val="ListParagraph"/>
        <w:numPr>
          <w:ilvl w:val="0"/>
          <w:numId w:val="18"/>
        </w:numPr>
      </w:pPr>
      <w:r>
        <w:t>As these posts are</w:t>
      </w:r>
      <w:r w:rsidR="008F55AB">
        <w:t xml:space="preserve"> funded</w:t>
      </w:r>
      <w:r>
        <w:t xml:space="preserve"> </w:t>
      </w:r>
      <w:r w:rsidR="004A1C91">
        <w:t>supernumerary</w:t>
      </w:r>
      <w:r w:rsidR="00B7667B">
        <w:t xml:space="preserve"> (unless agreed </w:t>
      </w:r>
      <w:r w:rsidR="0093744D">
        <w:t>otherwise</w:t>
      </w:r>
      <w:r w:rsidR="00B7667B">
        <w:t xml:space="preserve"> between both Academic </w:t>
      </w:r>
      <w:r w:rsidR="0093744D">
        <w:t>l</w:t>
      </w:r>
      <w:r w:rsidR="00B7667B">
        <w:t>ead and Clinical TPD)</w:t>
      </w:r>
      <w:r w:rsidR="004A1C91">
        <w:t>,</w:t>
      </w:r>
      <w:r>
        <w:t xml:space="preserve"> they will not form part of the established figures and will require bespoke arrangements</w:t>
      </w:r>
      <w:r w:rsidR="00661D2F">
        <w:t>.</w:t>
      </w:r>
    </w:p>
    <w:p w14:paraId="579B12F8" w14:textId="3273F3B4" w:rsidR="00F15000" w:rsidRDefault="00571C4E" w:rsidP="005C7B44">
      <w:pPr>
        <w:pStyle w:val="ListParagraph"/>
        <w:numPr>
          <w:ilvl w:val="0"/>
          <w:numId w:val="18"/>
        </w:numPr>
      </w:pPr>
      <w:r>
        <w:t>For ACF recruitment, t</w:t>
      </w:r>
      <w:r w:rsidR="00F15000">
        <w:t>he HST TPD</w:t>
      </w:r>
      <w:r>
        <w:t xml:space="preserve"> (as well as the Core</w:t>
      </w:r>
      <w:r w:rsidR="000B0ED6">
        <w:t>/IMT</w:t>
      </w:r>
      <w:r>
        <w:t xml:space="preserve"> based equivalent)</w:t>
      </w:r>
      <w:r w:rsidR="00F15000">
        <w:t xml:space="preserve"> must be advised as </w:t>
      </w:r>
      <w:r w:rsidR="004E08DF">
        <w:t>they</w:t>
      </w:r>
      <w:r w:rsidR="00F15000">
        <w:t xml:space="preserve"> will be required to accommodate the </w:t>
      </w:r>
      <w:r w:rsidR="007F7028">
        <w:t>ACF</w:t>
      </w:r>
      <w:r w:rsidR="00F15000">
        <w:t xml:space="preserve"> in their HST programme either during or on completion of th</w:t>
      </w:r>
      <w:r>
        <w:t>is academic programme</w:t>
      </w:r>
      <w:r w:rsidR="0093744D">
        <w:t>.</w:t>
      </w:r>
    </w:p>
    <w:p w14:paraId="1ED858F8" w14:textId="0D10AAFF" w:rsidR="00F15000" w:rsidRDefault="00F15000" w:rsidP="005C7B44">
      <w:pPr>
        <w:pStyle w:val="ListParagraph"/>
        <w:numPr>
          <w:ilvl w:val="0"/>
          <w:numId w:val="18"/>
        </w:numPr>
      </w:pPr>
      <w:r>
        <w:t xml:space="preserve">The </w:t>
      </w:r>
      <w:r w:rsidR="007278F4">
        <w:t>A</w:t>
      </w:r>
      <w:r>
        <w:t>cademic lead will alert the clinical teams as to the suggested research timetable</w:t>
      </w:r>
      <w:r w:rsidR="0090574C">
        <w:t xml:space="preserve"> and whether the </w:t>
      </w:r>
      <w:r w:rsidR="007F7028">
        <w:t>ACF</w:t>
      </w:r>
      <w:r w:rsidR="003A1E13">
        <w:t xml:space="preserve"> or CL</w:t>
      </w:r>
      <w:r w:rsidR="0090574C">
        <w:t xml:space="preserve"> </w:t>
      </w:r>
      <w:r>
        <w:t xml:space="preserve">is </w:t>
      </w:r>
      <w:r w:rsidR="0090574C">
        <w:t>planning</w:t>
      </w:r>
      <w:r>
        <w:t xml:space="preserve"> to conduct research as </w:t>
      </w:r>
      <w:r w:rsidR="00287996">
        <w:t>three-month</w:t>
      </w:r>
      <w:r>
        <w:t xml:space="preserve"> blocks (in each year)</w:t>
      </w:r>
      <w:r w:rsidR="00287996">
        <w:t xml:space="preserve">, </w:t>
      </w:r>
      <w:r>
        <w:t>as a day release</w:t>
      </w:r>
      <w:r w:rsidR="00287996">
        <w:t xml:space="preserve">, </w:t>
      </w:r>
      <w:r>
        <w:t>or</w:t>
      </w:r>
      <w:r w:rsidR="00287996">
        <w:t xml:space="preserve"> if</w:t>
      </w:r>
      <w:r>
        <w:t xml:space="preserve"> any other pattern is being </w:t>
      </w:r>
      <w:r w:rsidR="00287996">
        <w:t>considered, plus</w:t>
      </w:r>
      <w:r>
        <w:t xml:space="preserve"> the site of the research. This will assist in ensuring that placements are allocated appropriatel</w:t>
      </w:r>
      <w:r w:rsidR="003A1E13">
        <w:t>y.</w:t>
      </w:r>
    </w:p>
    <w:p w14:paraId="7DA93F46" w14:textId="3E522BD1" w:rsidR="00F15000" w:rsidRDefault="00F15000" w:rsidP="005C7B44">
      <w:pPr>
        <w:pStyle w:val="ListParagraph"/>
        <w:numPr>
          <w:ilvl w:val="0"/>
          <w:numId w:val="18"/>
        </w:numPr>
      </w:pPr>
      <w:r>
        <w:t xml:space="preserve">The </w:t>
      </w:r>
      <w:r w:rsidR="007278F4">
        <w:t>C</w:t>
      </w:r>
      <w:r>
        <w:t>linical</w:t>
      </w:r>
      <w:r w:rsidR="00A0119B">
        <w:t xml:space="preserve"> </w:t>
      </w:r>
      <w:r>
        <w:t xml:space="preserve">TPDs will confirm, in writing, following review of the training establishment, the capacity for the placement at </w:t>
      </w:r>
      <w:r w:rsidR="00A0119B">
        <w:t>both Core</w:t>
      </w:r>
      <w:r w:rsidR="00F924A5">
        <w:t>/IMT</w:t>
      </w:r>
      <w:r w:rsidR="00A0119B">
        <w:t xml:space="preserve"> and </w:t>
      </w:r>
      <w:r>
        <w:t>HST level.</w:t>
      </w:r>
      <w:r w:rsidR="00A0119B">
        <w:t xml:space="preserve"> where appropriate. </w:t>
      </w:r>
    </w:p>
    <w:p w14:paraId="7EED3040" w14:textId="28FE3A88" w:rsidR="00A53654" w:rsidRPr="00504E97" w:rsidRDefault="00F15000" w:rsidP="00BE61B1">
      <w:pPr>
        <w:pStyle w:val="ListParagraph"/>
        <w:numPr>
          <w:ilvl w:val="0"/>
          <w:numId w:val="18"/>
        </w:numPr>
      </w:pPr>
      <w:r>
        <w:t xml:space="preserve">The </w:t>
      </w:r>
      <w:r w:rsidR="007278F4">
        <w:t>C</w:t>
      </w:r>
      <w:r>
        <w:t>linical TPD will</w:t>
      </w:r>
      <w:r w:rsidR="001A2FAE">
        <w:t xml:space="preserve"> </w:t>
      </w:r>
      <w:r>
        <w:t xml:space="preserve">identify an appropriate training rotation (if available) spanning the </w:t>
      </w:r>
      <w:r w:rsidR="00FA3453">
        <w:t>three</w:t>
      </w:r>
      <w:r>
        <w:t xml:space="preserve"> </w:t>
      </w:r>
      <w:r w:rsidR="001A2FAE">
        <w:t xml:space="preserve">or four </w:t>
      </w:r>
      <w:r>
        <w:t xml:space="preserve">years of clinical training that the </w:t>
      </w:r>
      <w:r w:rsidR="003C61CD">
        <w:t>ACF</w:t>
      </w:r>
      <w:r w:rsidR="001A2FAE">
        <w:t>/CL</w:t>
      </w:r>
      <w:r>
        <w:t xml:space="preserve"> will receive</w:t>
      </w:r>
      <w:r w:rsidR="00FA3453">
        <w:t>,</w:t>
      </w:r>
      <w:r>
        <w:t xml:space="preserve"> and will </w:t>
      </w:r>
      <w:r>
        <w:lastRenderedPageBreak/>
        <w:t xml:space="preserve">produce a </w:t>
      </w:r>
      <w:r w:rsidR="00FA3453">
        <w:t>three</w:t>
      </w:r>
      <w:r w:rsidR="001A2FAE">
        <w:t>/four</w:t>
      </w:r>
      <w:r w:rsidR="00FA3453">
        <w:t>-year</w:t>
      </w:r>
      <w:r>
        <w:t xml:space="preserve"> planner, incorporating the proposed academic training requirements (e.g. if </w:t>
      </w:r>
      <w:r w:rsidR="00FA3453">
        <w:t xml:space="preserve">three </w:t>
      </w:r>
      <w:r>
        <w:t xml:space="preserve">monthly blocks of training are required). This plan will ensure that the </w:t>
      </w:r>
      <w:r w:rsidR="003C61CD">
        <w:t>ACF</w:t>
      </w:r>
      <w:r w:rsidR="006F0AFF">
        <w:t>/CL</w:t>
      </w:r>
      <w:r>
        <w:t xml:space="preserve"> has the best opportunity to achieve CCT in an </w:t>
      </w:r>
      <w:r w:rsidRPr="00504E97">
        <w:t>appropriate timeframe</w:t>
      </w:r>
      <w:r w:rsidR="002E44DD">
        <w:t>.</w:t>
      </w:r>
      <w:r w:rsidR="00A53654">
        <w:t xml:space="preserve"> </w:t>
      </w:r>
    </w:p>
    <w:p w14:paraId="11946C1D" w14:textId="3F094A65" w:rsidR="00F15000" w:rsidRDefault="00F15000" w:rsidP="00C412EC">
      <w:pPr>
        <w:pStyle w:val="ListParagraph"/>
        <w:numPr>
          <w:ilvl w:val="0"/>
          <w:numId w:val="18"/>
        </w:numPr>
      </w:pPr>
      <w:r w:rsidRPr="00504E97">
        <w:t xml:space="preserve">The </w:t>
      </w:r>
      <w:r w:rsidR="00710647" w:rsidRPr="00504E97">
        <w:t>A</w:t>
      </w:r>
      <w:r w:rsidRPr="00504E97">
        <w:t xml:space="preserve">cademic lead </w:t>
      </w:r>
      <w:r w:rsidR="00137047">
        <w:t>and Clinical TPD</w:t>
      </w:r>
      <w:r w:rsidR="00736810">
        <w:t xml:space="preserve">s </w:t>
      </w:r>
      <w:r w:rsidRPr="00504E97">
        <w:t xml:space="preserve">will </w:t>
      </w:r>
      <w:r w:rsidR="00736810">
        <w:t>coordinate</w:t>
      </w:r>
      <w:r w:rsidR="002A4D96">
        <w:t xml:space="preserve"> obtaining</w:t>
      </w:r>
      <w:r w:rsidRPr="00504E97">
        <w:t xml:space="preserve"> </w:t>
      </w:r>
      <w:r w:rsidR="00736810">
        <w:t xml:space="preserve">the formal </w:t>
      </w:r>
      <w:r w:rsidR="00F408A6">
        <w:t>agreement, in writing</w:t>
      </w:r>
      <w:r w:rsidR="002A4D96">
        <w:t>, of</w:t>
      </w:r>
      <w:r w:rsidR="00F408A6">
        <w:t xml:space="preserve"> </w:t>
      </w:r>
      <w:r w:rsidRPr="00504E97">
        <w:t xml:space="preserve">funding agreements from the HR department at any </w:t>
      </w:r>
      <w:r w:rsidR="00756DB1" w:rsidRPr="00504E97">
        <w:t>L</w:t>
      </w:r>
      <w:r w:rsidR="00767D5F" w:rsidRPr="00504E97">
        <w:t xml:space="preserve">ocal </w:t>
      </w:r>
      <w:r w:rsidR="00756DB1" w:rsidRPr="00504E97">
        <w:t>E</w:t>
      </w:r>
      <w:r w:rsidR="00767D5F" w:rsidRPr="00504E97">
        <w:t xml:space="preserve">ducation </w:t>
      </w:r>
      <w:r w:rsidR="00756DB1" w:rsidRPr="00504E97">
        <w:t>P</w:t>
      </w:r>
      <w:r w:rsidR="00767D5F" w:rsidRPr="00504E97">
        <w:t>rovider</w:t>
      </w:r>
      <w:r w:rsidRPr="00504E97">
        <w:t xml:space="preserve"> </w:t>
      </w:r>
      <w:r w:rsidR="00767D5F" w:rsidRPr="00504E97">
        <w:t>(LEP)</w:t>
      </w:r>
      <w:r w:rsidR="00A761C7" w:rsidRPr="00504E97">
        <w:t xml:space="preserve"> that</w:t>
      </w:r>
      <w:r w:rsidRPr="00504E97">
        <w:t xml:space="preserve"> the </w:t>
      </w:r>
      <w:r w:rsidR="003C61CD" w:rsidRPr="00504E97">
        <w:t>ACF</w:t>
      </w:r>
      <w:r w:rsidR="001A480A">
        <w:t>/CL</w:t>
      </w:r>
      <w:r w:rsidRPr="00504E97">
        <w:t xml:space="preserve"> will be attending to ensure that out of hours (OOH) opportunity and funding is available.</w:t>
      </w:r>
      <w:r w:rsidR="00A761C7" w:rsidRPr="00504E97">
        <w:br/>
      </w:r>
      <w:r w:rsidRPr="00C412EC">
        <w:rPr>
          <w:b/>
          <w:bCs/>
        </w:rPr>
        <w:t>Note</w:t>
      </w:r>
      <w:r w:rsidRPr="00504E97">
        <w:t>: These posts are NIHR funded so only OOH financial agreements are required.</w:t>
      </w:r>
    </w:p>
    <w:p w14:paraId="7B0EA0D9" w14:textId="10BB7AE5" w:rsidR="00F408A6" w:rsidRPr="00504E97" w:rsidRDefault="69E7F98B" w:rsidP="002E44DD">
      <w:pPr>
        <w:pStyle w:val="ListParagraph"/>
        <w:numPr>
          <w:ilvl w:val="0"/>
          <w:numId w:val="23"/>
        </w:numPr>
      </w:pPr>
      <w:r>
        <w:t xml:space="preserve">For IMT the process may differ, </w:t>
      </w:r>
      <w:r w:rsidR="641D1C0C">
        <w:t xml:space="preserve">so </w:t>
      </w:r>
      <w:r>
        <w:t xml:space="preserve">please </w:t>
      </w:r>
      <w:r w:rsidR="00B94E09">
        <w:t>consult</w:t>
      </w:r>
      <w:r>
        <w:t xml:space="preserve"> the School of Medicine</w:t>
      </w:r>
      <w:r w:rsidR="00B94E09">
        <w:t xml:space="preserve"> Senior Faculty (</w:t>
      </w:r>
      <w:proofErr w:type="spellStart"/>
      <w:r w:rsidR="00B94E09">
        <w:t>HoS</w:t>
      </w:r>
      <w:proofErr w:type="spellEnd"/>
      <w:r w:rsidR="00B94E09">
        <w:t xml:space="preserve"> &amp; Deputy </w:t>
      </w:r>
      <w:proofErr w:type="spellStart"/>
      <w:r w:rsidR="00B94E09">
        <w:t>HoS</w:t>
      </w:r>
      <w:proofErr w:type="spellEnd"/>
      <w:r w:rsidR="00B94E09">
        <w:t>)</w:t>
      </w:r>
      <w:r>
        <w:t xml:space="preserve"> </w:t>
      </w:r>
      <w:r w:rsidR="5159F691">
        <w:t xml:space="preserve">for </w:t>
      </w:r>
      <w:r w:rsidR="00B94E09">
        <w:t xml:space="preserve">confirmation. </w:t>
      </w:r>
    </w:p>
    <w:p w14:paraId="6EBB5C35" w14:textId="626DF05A" w:rsidR="00F15000" w:rsidRDefault="00F15000" w:rsidP="005C7B44">
      <w:pPr>
        <w:pStyle w:val="ListParagraph"/>
        <w:numPr>
          <w:ilvl w:val="0"/>
          <w:numId w:val="18"/>
        </w:numPr>
      </w:pPr>
      <w:r>
        <w:t xml:space="preserve">The </w:t>
      </w:r>
      <w:r w:rsidR="00756DB1">
        <w:t>A</w:t>
      </w:r>
      <w:r>
        <w:t>cademic l</w:t>
      </w:r>
      <w:r w:rsidR="002E44DD">
        <w:t xml:space="preserve">ead </w:t>
      </w:r>
      <w:r w:rsidR="00F408A6">
        <w:t>and Clinical TPDs</w:t>
      </w:r>
      <w:r w:rsidR="00151772">
        <w:t xml:space="preserve"> </w:t>
      </w:r>
      <w:r w:rsidR="00151772" w:rsidRPr="00504E97">
        <w:t xml:space="preserve">will </w:t>
      </w:r>
      <w:r w:rsidR="00151772">
        <w:t>coordinate obtaining</w:t>
      </w:r>
      <w:r w:rsidR="00151772" w:rsidRPr="00504E97">
        <w:t xml:space="preserve"> </w:t>
      </w:r>
      <w:r w:rsidR="00151772">
        <w:t>the formal agreement, in writing</w:t>
      </w:r>
      <w:r>
        <w:t>, from</w:t>
      </w:r>
      <w:r w:rsidR="006059CC">
        <w:t xml:space="preserve"> LEP</w:t>
      </w:r>
      <w:r>
        <w:t xml:space="preserve"> </w:t>
      </w:r>
      <w:r w:rsidR="00A761C7">
        <w:t>C</w:t>
      </w:r>
      <w:r>
        <w:t xml:space="preserve">linical </w:t>
      </w:r>
      <w:r w:rsidR="00A761C7">
        <w:t>D</w:t>
      </w:r>
      <w:r>
        <w:t xml:space="preserve">irectors of each allocated placement to ensure there is sufficient training capacity for the </w:t>
      </w:r>
      <w:r w:rsidR="003C61CD">
        <w:t>ACF</w:t>
      </w:r>
      <w:r w:rsidR="001A480A">
        <w:t>/CL</w:t>
      </w:r>
      <w:r>
        <w:t xml:space="preserve"> at </w:t>
      </w:r>
      <w:r w:rsidR="006059CC">
        <w:t>t</w:t>
      </w:r>
      <w:r>
        <w:t xml:space="preserve">he proposed location. Should any location decline to take the </w:t>
      </w:r>
      <w:r w:rsidR="003C61CD">
        <w:t>ACF</w:t>
      </w:r>
      <w:r w:rsidR="001A480A">
        <w:t>/CL</w:t>
      </w:r>
      <w:r>
        <w:t xml:space="preserve"> as supernumerary</w:t>
      </w:r>
      <w:r w:rsidR="006059CC">
        <w:t xml:space="preserve">, </w:t>
      </w:r>
      <w:r>
        <w:t xml:space="preserve">the </w:t>
      </w:r>
      <w:r w:rsidR="004A6630">
        <w:t>A</w:t>
      </w:r>
      <w:r>
        <w:t xml:space="preserve">cademic lead will advise the </w:t>
      </w:r>
      <w:r w:rsidR="004A6630">
        <w:t>C</w:t>
      </w:r>
      <w:r>
        <w:t>linical TPD who will</w:t>
      </w:r>
      <w:r w:rsidR="001A480A">
        <w:t xml:space="preserve"> look to</w:t>
      </w:r>
      <w:r>
        <w:t xml:space="preserve"> identify an alternative post. </w:t>
      </w:r>
    </w:p>
    <w:p w14:paraId="24CD403C" w14:textId="5384A86E" w:rsidR="00F15000" w:rsidRDefault="00F15000" w:rsidP="005C7B44">
      <w:pPr>
        <w:pStyle w:val="ListParagraph"/>
        <w:numPr>
          <w:ilvl w:val="0"/>
          <w:numId w:val="18"/>
        </w:numPr>
      </w:pPr>
      <w:r>
        <w:t xml:space="preserve">Once the placement and HR agreements are </w:t>
      </w:r>
      <w:r w:rsidR="00520410">
        <w:t>confirmed,</w:t>
      </w:r>
      <w:r>
        <w:t xml:space="preserve"> </w:t>
      </w:r>
      <w:r w:rsidR="004A6630">
        <w:t>A</w:t>
      </w:r>
      <w:r>
        <w:t>cademic leads will advise the Programme Support Teams</w:t>
      </w:r>
      <w:r w:rsidR="00520410">
        <w:t xml:space="preserve"> in the Deanery</w:t>
      </w:r>
      <w:r>
        <w:t xml:space="preserve"> (both clinical and academic)</w:t>
      </w:r>
      <w:r w:rsidR="00520410">
        <w:t>,</w:t>
      </w:r>
      <w:r>
        <w:t xml:space="preserve"> at which point the advert can be released to</w:t>
      </w:r>
      <w:r w:rsidR="00D83D2F">
        <w:t xml:space="preserve"> the Deanery</w:t>
      </w:r>
      <w:r>
        <w:t xml:space="preserve"> </w:t>
      </w:r>
      <w:r w:rsidR="00D83D2F">
        <w:t>R</w:t>
      </w:r>
      <w:r>
        <w:t>ecruitment</w:t>
      </w:r>
      <w:r w:rsidR="00D83D2F">
        <w:t xml:space="preserve"> team</w:t>
      </w:r>
      <w:r w:rsidR="00EB5B77">
        <w:t xml:space="preserve"> for ACF appointments. CL recruitment is managed by the relevant </w:t>
      </w:r>
      <w:r w:rsidR="00CE70E8">
        <w:t>HEI;</w:t>
      </w:r>
      <w:r w:rsidR="00EB5B77">
        <w:t xml:space="preserve"> </w:t>
      </w:r>
      <w:r w:rsidR="00CE70E8">
        <w:t>however,</w:t>
      </w:r>
      <w:r w:rsidR="00EB5B77">
        <w:t xml:space="preserve"> the above steps </w:t>
      </w:r>
      <w:r w:rsidR="00CE70E8">
        <w:t>should still be</w:t>
      </w:r>
      <w:r w:rsidR="00D83D2F">
        <w:t xml:space="preserve"> </w:t>
      </w:r>
      <w:r w:rsidR="00176644">
        <w:t>progressed</w:t>
      </w:r>
      <w:r w:rsidR="00D83D2F">
        <w:t xml:space="preserve"> in full. </w:t>
      </w:r>
    </w:p>
    <w:p w14:paraId="17CAEAF9" w14:textId="174E5746" w:rsidR="00520410" w:rsidRDefault="00B743F3" w:rsidP="00DC0050">
      <w:pPr>
        <w:pStyle w:val="NumberedHeading1"/>
      </w:pPr>
      <w:r>
        <w:t xml:space="preserve">Recruitment </w:t>
      </w:r>
      <w:r w:rsidR="00506E57">
        <w:t>Round</w:t>
      </w:r>
      <w:r>
        <w:t>s</w:t>
      </w:r>
      <w:r w:rsidR="00506E57">
        <w:t xml:space="preserve"> 2</w:t>
      </w:r>
      <w:r w:rsidR="003C7827">
        <w:t>, 3 and re-advertisement</w:t>
      </w:r>
    </w:p>
    <w:p w14:paraId="643CE361" w14:textId="5E40B88B" w:rsidR="00506E57" w:rsidRPr="00B743F3" w:rsidRDefault="00506E57" w:rsidP="00506E57">
      <w:pPr>
        <w:pStyle w:val="BodyText"/>
        <w:rPr>
          <w:color w:val="auto"/>
        </w:rPr>
      </w:pPr>
      <w:r w:rsidRPr="00B743F3">
        <w:rPr>
          <w:color w:val="auto"/>
        </w:rPr>
        <w:t xml:space="preserve">It is acknowledged that given the national timescales, there is a significant likelihood </w:t>
      </w:r>
      <w:r w:rsidR="00EA2F91" w:rsidRPr="00B743F3">
        <w:rPr>
          <w:color w:val="auto"/>
        </w:rPr>
        <w:t xml:space="preserve">that </w:t>
      </w:r>
      <w:r w:rsidR="00651995" w:rsidRPr="00B743F3">
        <w:rPr>
          <w:color w:val="auto"/>
        </w:rPr>
        <w:t>C</w:t>
      </w:r>
      <w:r w:rsidR="00EA2F91" w:rsidRPr="00B743F3">
        <w:rPr>
          <w:color w:val="auto"/>
        </w:rPr>
        <w:t xml:space="preserve">ode of </w:t>
      </w:r>
      <w:r w:rsidR="00651995" w:rsidRPr="00B743F3">
        <w:rPr>
          <w:color w:val="auto"/>
        </w:rPr>
        <w:t>p</w:t>
      </w:r>
      <w:r w:rsidR="00EA2F91" w:rsidRPr="00B743F3">
        <w:rPr>
          <w:color w:val="auto"/>
        </w:rPr>
        <w:t xml:space="preserve">ractice deadlines will be </w:t>
      </w:r>
      <w:r w:rsidR="0099367C" w:rsidRPr="00B743F3">
        <w:rPr>
          <w:color w:val="auto"/>
        </w:rPr>
        <w:t xml:space="preserve">breached. </w:t>
      </w:r>
    </w:p>
    <w:p w14:paraId="77ED997D" w14:textId="0AC313E7" w:rsidR="00DC0050" w:rsidRDefault="0099367C" w:rsidP="00B743F3">
      <w:pPr>
        <w:pStyle w:val="BodyText"/>
        <w:rPr>
          <w:color w:val="auto"/>
        </w:rPr>
      </w:pPr>
      <w:r w:rsidRPr="00B743F3">
        <w:rPr>
          <w:color w:val="auto"/>
        </w:rPr>
        <w:t>However</w:t>
      </w:r>
      <w:r w:rsidR="00B743F3" w:rsidRPr="00B743F3">
        <w:rPr>
          <w:color w:val="auto"/>
        </w:rPr>
        <w:t>,</w:t>
      </w:r>
      <w:r w:rsidRPr="00B743F3">
        <w:rPr>
          <w:color w:val="auto"/>
        </w:rPr>
        <w:t xml:space="preserve"> the same principles as described above should </w:t>
      </w:r>
      <w:r w:rsidR="008D351A" w:rsidRPr="00B743F3">
        <w:rPr>
          <w:color w:val="auto"/>
        </w:rPr>
        <w:t xml:space="preserve">still </w:t>
      </w:r>
      <w:r w:rsidRPr="00B743F3">
        <w:rPr>
          <w:color w:val="auto"/>
        </w:rPr>
        <w:t>be adhered to before progressing to advertisement</w:t>
      </w:r>
      <w:r w:rsidR="008A1899" w:rsidRPr="00B743F3">
        <w:rPr>
          <w:color w:val="auto"/>
        </w:rPr>
        <w:t>, most notably the Academic</w:t>
      </w:r>
      <w:r w:rsidR="00B743F3">
        <w:rPr>
          <w:color w:val="auto"/>
        </w:rPr>
        <w:t xml:space="preserve"> l</w:t>
      </w:r>
      <w:r w:rsidR="008A1899" w:rsidRPr="00B743F3">
        <w:rPr>
          <w:color w:val="auto"/>
        </w:rPr>
        <w:t>ead confirming with the Clinical TPD that there is still capacity within the training programme to facilitate the additional academic trainee</w:t>
      </w:r>
      <w:r w:rsidR="002841A5" w:rsidRPr="00B743F3">
        <w:rPr>
          <w:color w:val="auto"/>
        </w:rPr>
        <w:t xml:space="preserve">, and that the relevant funding agreements are still in place. </w:t>
      </w:r>
    </w:p>
    <w:p w14:paraId="6ED58AB1" w14:textId="32858416" w:rsidR="003C7827" w:rsidRDefault="003C7827" w:rsidP="00B743F3">
      <w:pPr>
        <w:pStyle w:val="BodyText"/>
        <w:rPr>
          <w:color w:val="auto"/>
        </w:rPr>
      </w:pPr>
      <w:r>
        <w:rPr>
          <w:color w:val="auto"/>
        </w:rPr>
        <w:t xml:space="preserve">This discussion should also </w:t>
      </w:r>
      <w:r w:rsidR="0067456A">
        <w:rPr>
          <w:color w:val="auto"/>
        </w:rPr>
        <w:t xml:space="preserve">again </w:t>
      </w:r>
      <w:r>
        <w:rPr>
          <w:color w:val="auto"/>
        </w:rPr>
        <w:t xml:space="preserve">take place should a situation arise where the originally appointed </w:t>
      </w:r>
      <w:proofErr w:type="spellStart"/>
      <w:r w:rsidR="00384FDB">
        <w:rPr>
          <w:color w:val="auto"/>
        </w:rPr>
        <w:t>PGDiT</w:t>
      </w:r>
      <w:proofErr w:type="spellEnd"/>
      <w:r w:rsidR="00384FDB">
        <w:rPr>
          <w:color w:val="auto"/>
        </w:rPr>
        <w:t xml:space="preserve"> </w:t>
      </w:r>
      <w:r w:rsidR="00215C87">
        <w:rPr>
          <w:color w:val="auto"/>
        </w:rPr>
        <w:t>resigns from the programme</w:t>
      </w:r>
      <w:r w:rsidR="00682CF7">
        <w:rPr>
          <w:color w:val="auto"/>
        </w:rPr>
        <w:t xml:space="preserve"> either before commencing in post or shortly after</w:t>
      </w:r>
      <w:r w:rsidR="00215C87">
        <w:rPr>
          <w:color w:val="auto"/>
        </w:rPr>
        <w:t xml:space="preserve">, rather than the next </w:t>
      </w:r>
      <w:r w:rsidR="00E91987">
        <w:rPr>
          <w:color w:val="auto"/>
        </w:rPr>
        <w:t>highest-ranking</w:t>
      </w:r>
      <w:r w:rsidR="00215C87">
        <w:rPr>
          <w:color w:val="auto"/>
        </w:rPr>
        <w:t xml:space="preserve"> candidate being automatically appointed </w:t>
      </w:r>
      <w:r w:rsidR="00682CF7">
        <w:rPr>
          <w:color w:val="auto"/>
        </w:rPr>
        <w:t xml:space="preserve">to </w:t>
      </w:r>
      <w:r w:rsidR="0067456A">
        <w:rPr>
          <w:color w:val="auto"/>
        </w:rPr>
        <w:t>replace them within the ACF post</w:t>
      </w:r>
      <w:r w:rsidR="00682CF7">
        <w:rPr>
          <w:color w:val="auto"/>
        </w:rPr>
        <w:t xml:space="preserve">. </w:t>
      </w:r>
    </w:p>
    <w:p w14:paraId="0A8C8333" w14:textId="77777777" w:rsidR="00E91987" w:rsidRDefault="00E91987" w:rsidP="00B743F3">
      <w:pPr>
        <w:pStyle w:val="BodyText"/>
        <w:rPr>
          <w:color w:val="auto"/>
        </w:rPr>
      </w:pPr>
    </w:p>
    <w:p w14:paraId="377117B6" w14:textId="77777777" w:rsidR="00E91987" w:rsidRPr="00B743F3" w:rsidRDefault="00E91987" w:rsidP="00B743F3">
      <w:pPr>
        <w:pStyle w:val="BodyText"/>
        <w:rPr>
          <w:color w:val="auto"/>
        </w:rPr>
      </w:pPr>
    </w:p>
    <w:p w14:paraId="2D92CCC7" w14:textId="1D5E68AA" w:rsidR="00265288" w:rsidRDefault="00BD6110" w:rsidP="00265288">
      <w:pPr>
        <w:pStyle w:val="NumberedHeading1"/>
      </w:pPr>
      <w:r>
        <w:lastRenderedPageBreak/>
        <w:t>Post-</w:t>
      </w:r>
      <w:r w:rsidR="0011562C">
        <w:t>i</w:t>
      </w:r>
      <w:r>
        <w:t xml:space="preserve">nterview </w:t>
      </w:r>
      <w:r w:rsidR="00B9326A">
        <w:t>P</w:t>
      </w:r>
      <w:r>
        <w:t>rocess</w:t>
      </w:r>
    </w:p>
    <w:p w14:paraId="01F108AB" w14:textId="00B38EF2" w:rsidR="00265288" w:rsidRDefault="00265288" w:rsidP="005C7B44">
      <w:pPr>
        <w:pStyle w:val="ListParagraph"/>
        <w:numPr>
          <w:ilvl w:val="0"/>
          <w:numId w:val="19"/>
        </w:numPr>
      </w:pPr>
      <w:r>
        <w:t>Following interview and appointment</w:t>
      </w:r>
      <w:r w:rsidR="00520410">
        <w:t>,</w:t>
      </w:r>
      <w:r>
        <w:t xml:space="preserve"> the </w:t>
      </w:r>
      <w:r w:rsidR="004A6630">
        <w:t>C</w:t>
      </w:r>
      <w:r>
        <w:t xml:space="preserve">linical TPDs must be advised of the name </w:t>
      </w:r>
      <w:r w:rsidR="00520410">
        <w:t xml:space="preserve"> and</w:t>
      </w:r>
      <w:r>
        <w:t xml:space="preserve"> grade</w:t>
      </w:r>
      <w:r w:rsidR="003475F5">
        <w:t xml:space="preserve"> at entry</w:t>
      </w:r>
      <w:r w:rsidR="00302F69">
        <w:t xml:space="preserve"> to the post</w:t>
      </w:r>
      <w:r>
        <w:t xml:space="preserve"> of the </w:t>
      </w:r>
      <w:r w:rsidR="00F7199F">
        <w:t>ACF</w:t>
      </w:r>
      <w:r>
        <w:t xml:space="preserve"> (</w:t>
      </w:r>
      <w:r w:rsidR="00D435F1">
        <w:t xml:space="preserve">copying in the Programme Support </w:t>
      </w:r>
      <w:r w:rsidR="00341F8F">
        <w:t xml:space="preserve">and Academic </w:t>
      </w:r>
      <w:r w:rsidR="00D435F1">
        <w:t>Team</w:t>
      </w:r>
      <w:r w:rsidR="009803D6">
        <w:t>) by the Deanery Recruitment team</w:t>
      </w:r>
      <w:r w:rsidR="00D435F1">
        <w:t xml:space="preserve"> </w:t>
      </w:r>
      <w:r>
        <w:t xml:space="preserve">in a timely manner, in keeping with the </w:t>
      </w:r>
      <w:r w:rsidR="000F4B5F">
        <w:t xml:space="preserve">national </w:t>
      </w:r>
      <w:hyperlink r:id="rId16" w:history="1">
        <w:r w:rsidRPr="00B142BB">
          <w:rPr>
            <w:rStyle w:val="Hyperlink"/>
            <w:rFonts w:ascii="Arial" w:hAnsi="Arial"/>
          </w:rPr>
          <w:t>Code of Practice</w:t>
        </w:r>
      </w:hyperlink>
      <w:r>
        <w:t xml:space="preserve"> </w:t>
      </w:r>
      <w:r w:rsidR="005D01AB">
        <w:t xml:space="preserve">guidance </w:t>
      </w:r>
      <w:r w:rsidR="00827B93">
        <w:t>(3 months</w:t>
      </w:r>
      <w:r w:rsidR="008A4312">
        <w:t>’</w:t>
      </w:r>
      <w:r w:rsidR="00827B93">
        <w:t xml:space="preserve"> </w:t>
      </w:r>
      <w:r w:rsidR="006A0777">
        <w:t xml:space="preserve">notice) </w:t>
      </w:r>
      <w:r>
        <w:t xml:space="preserve">in order that </w:t>
      </w:r>
      <w:r w:rsidR="005D01AB">
        <w:t>LEPs</w:t>
      </w:r>
      <w:r>
        <w:t xml:space="preserve"> can</w:t>
      </w:r>
      <w:r w:rsidR="00CE3C33">
        <w:t xml:space="preserve"> then</w:t>
      </w:r>
      <w:r>
        <w:t xml:space="preserve"> be advised</w:t>
      </w:r>
      <w:r w:rsidR="00F7199F">
        <w:t>.</w:t>
      </w:r>
      <w:r w:rsidR="001C5FED">
        <w:t xml:space="preserve"> </w:t>
      </w:r>
      <w:r w:rsidR="009803D6">
        <w:t xml:space="preserve">The HEI should </w:t>
      </w:r>
      <w:r w:rsidR="00341F8F">
        <w:t>do the same for a CL appointment.</w:t>
      </w:r>
    </w:p>
    <w:p w14:paraId="79CA274A" w14:textId="6C8BCB76" w:rsidR="00A53654" w:rsidRDefault="00265288" w:rsidP="00BE61B1">
      <w:pPr>
        <w:pStyle w:val="ListParagraph"/>
        <w:numPr>
          <w:ilvl w:val="0"/>
          <w:numId w:val="19"/>
        </w:numPr>
      </w:pPr>
      <w:r>
        <w:t>This is the opportunity to raise any special circumstances</w:t>
      </w:r>
      <w:r w:rsidR="005D01AB">
        <w:t>,</w:t>
      </w:r>
      <w:r>
        <w:t xml:space="preserve"> e.g. previous experience, less than full time working patterns etc. that might affect the agreed placements</w:t>
      </w:r>
      <w:r w:rsidR="00997476">
        <w:t>.</w:t>
      </w:r>
      <w:r w:rsidR="00997476">
        <w:br/>
      </w:r>
      <w:r w:rsidRPr="00997476">
        <w:rPr>
          <w:b/>
          <w:bCs/>
        </w:rPr>
        <w:t>Note</w:t>
      </w:r>
      <w:r>
        <w:t xml:space="preserve">: CCT dates can only be </w:t>
      </w:r>
      <w:r w:rsidR="00997476">
        <w:t>amended at ARCP.</w:t>
      </w:r>
    </w:p>
    <w:p w14:paraId="7068ABDA" w14:textId="77777777" w:rsidR="00A53654" w:rsidRDefault="00A53654" w:rsidP="00A53654">
      <w:pPr>
        <w:pStyle w:val="NumberedHeading1"/>
        <w:numPr>
          <w:ilvl w:val="0"/>
          <w:numId w:val="0"/>
        </w:numPr>
      </w:pPr>
    </w:p>
    <w:p w14:paraId="1249BEBF" w14:textId="5C8E5AA9" w:rsidR="00E8726E" w:rsidRDefault="5CE05AED" w:rsidP="3F598803">
      <w:pPr>
        <w:pStyle w:val="NumberedHeading1"/>
        <w:rPr>
          <w:bCs/>
        </w:rPr>
      </w:pPr>
      <w:r>
        <w:t>After training has commenced</w:t>
      </w:r>
    </w:p>
    <w:p w14:paraId="09B042CF" w14:textId="77777777" w:rsidR="00455DD8" w:rsidRDefault="00E8726E" w:rsidP="00E8726E">
      <w:r>
        <w:t xml:space="preserve">An ARCP is required for all </w:t>
      </w:r>
      <w:proofErr w:type="spellStart"/>
      <w:r w:rsidR="003665C3">
        <w:t>PGDiTs</w:t>
      </w:r>
      <w:proofErr w:type="spellEnd"/>
      <w:r>
        <w:t>. Fo</w:t>
      </w:r>
      <w:r w:rsidR="00AE16F1">
        <w:t xml:space="preserve">r Integrated </w:t>
      </w:r>
      <w:r w:rsidR="00651995">
        <w:t xml:space="preserve">Academic </w:t>
      </w:r>
      <w:r w:rsidR="008D351A">
        <w:t xml:space="preserve">trainees </w:t>
      </w:r>
      <w:r>
        <w:t xml:space="preserve">there is the requirement for BOTH a </w:t>
      </w:r>
      <w:r w:rsidR="00B74FDA">
        <w:t>C</w:t>
      </w:r>
      <w:r>
        <w:t>linical</w:t>
      </w:r>
      <w:r w:rsidR="00913DCE">
        <w:t xml:space="preserve"> TPD</w:t>
      </w:r>
      <w:r>
        <w:t xml:space="preserve"> and </w:t>
      </w:r>
      <w:r w:rsidR="00B74FDA">
        <w:t>A</w:t>
      </w:r>
      <w:r>
        <w:t>cademic TPD</w:t>
      </w:r>
      <w:r w:rsidR="00913DCE">
        <w:t>/ supervisor</w:t>
      </w:r>
      <w:r>
        <w:t xml:space="preserve"> to be on the ARCP panel</w:t>
      </w:r>
      <w:r w:rsidR="00913DCE">
        <w:t xml:space="preserve"> (GG10 4.147)</w:t>
      </w:r>
      <w:r>
        <w:t>. Both a clinical and educational supervisor are required to offer evaluations of training and progression to assist with the ARCP process.</w:t>
      </w:r>
    </w:p>
    <w:p w14:paraId="2E62DB9A" w14:textId="40E6F1F5" w:rsidR="00E8726E" w:rsidRDefault="00455DD8" w:rsidP="00E8726E">
      <w:r>
        <w:t>At the start of the academic placement and annually</w:t>
      </w:r>
      <w:r w:rsidR="0067164E">
        <w:t xml:space="preserve"> [or more frequently if necessary</w:t>
      </w:r>
      <w:r w:rsidR="000602FE">
        <w:t>]</w:t>
      </w:r>
      <w:r w:rsidR="0067164E">
        <w:t xml:space="preserve"> </w:t>
      </w:r>
      <w:r>
        <w:t xml:space="preserve">thereafter, </w:t>
      </w:r>
      <w:r w:rsidR="00A82A12">
        <w:t xml:space="preserve">the </w:t>
      </w:r>
      <w:proofErr w:type="spellStart"/>
      <w:r w:rsidR="00A82A12">
        <w:t>PGDiT</w:t>
      </w:r>
      <w:proofErr w:type="spellEnd"/>
      <w:r w:rsidR="00A82A12">
        <w:t xml:space="preserve"> and the named clinical and academic supervisor </w:t>
      </w:r>
      <w:r w:rsidR="00F82FE2">
        <w:t>should meet to review and agree the objectives for the year</w:t>
      </w:r>
      <w:r w:rsidR="0067164E">
        <w:t xml:space="preserve"> (GG4.146)</w:t>
      </w:r>
    </w:p>
    <w:p w14:paraId="7BBE5714" w14:textId="17A252A8" w:rsidR="00DC0050" w:rsidRDefault="415A9FE3" w:rsidP="00E8726E">
      <w:r>
        <w:t xml:space="preserve">The </w:t>
      </w:r>
      <w:hyperlink r:id="rId17">
        <w:r w:rsidR="655CFAE9" w:rsidRPr="3F598803">
          <w:rPr>
            <w:rStyle w:val="Hyperlink"/>
            <w:rFonts w:ascii="Arial" w:hAnsi="Arial"/>
          </w:rPr>
          <w:t>Gold Guide - 10th Edition</w:t>
        </w:r>
      </w:hyperlink>
      <w:r w:rsidR="655CFAE9">
        <w:t xml:space="preserve"> </w:t>
      </w:r>
      <w:r w:rsidR="5AB9ECB8">
        <w:t xml:space="preserve">and NIHR </w:t>
      </w:r>
      <w:r w:rsidR="798393C4">
        <w:t>recommendations are as below:</w:t>
      </w:r>
    </w:p>
    <w:p w14:paraId="751B135C" w14:textId="2EC13EE2" w:rsidR="00DC0050" w:rsidRPr="00BE61B1" w:rsidRDefault="4613A1A4" w:rsidP="3F598803">
      <w:pPr>
        <w:ind w:left="720"/>
      </w:pPr>
      <w:r>
        <w:t>4.145 Assessment of clinical progress of academic postgraduate doctors in training should be capability-based, rather than time-based. Setting a target date should be determined flexibly and tailored to the needs of the individual academic postgraduate doctor in training. The target date for achieving a CCT for an academic postgraduate doctor in training who continues beyond a doctorate degree (MD or PhD) should be determined at the first ARCP for clinical lecturers</w:t>
      </w:r>
      <w:r w:rsidR="42CC1F11">
        <w:t>...af</w:t>
      </w:r>
      <w:r>
        <w:t>ter which time it can only be adjusted through the usual ARCP processes</w:t>
      </w:r>
    </w:p>
    <w:p w14:paraId="1D6D502A" w14:textId="14F66C21" w:rsidR="00DC0050" w:rsidRPr="00BE61B1" w:rsidRDefault="43D717E6" w:rsidP="3F598803">
      <w:pPr>
        <w:rPr>
          <w:color w:val="231F20" w:themeColor="background1"/>
        </w:rPr>
      </w:pPr>
      <w:r w:rsidRPr="3F598803">
        <w:rPr>
          <w:color w:val="231F20" w:themeColor="background1"/>
        </w:rPr>
        <w:t xml:space="preserve">NIHR also recognises that in, for example, craft specialties, trainees do need to undertake procedures on </w:t>
      </w:r>
      <w:proofErr w:type="gramStart"/>
      <w:r w:rsidRPr="3F598803">
        <w:rPr>
          <w:color w:val="231F20" w:themeColor="background1"/>
        </w:rPr>
        <w:t>a number of</w:t>
      </w:r>
      <w:proofErr w:type="gramEnd"/>
      <w:r w:rsidRPr="3F598803">
        <w:rPr>
          <w:color w:val="231F20" w:themeColor="background1"/>
        </w:rPr>
        <w:t xml:space="preserve"> occasions to become competent to perform the procedure independently, and that requires a variable </w:t>
      </w:r>
      <w:proofErr w:type="gramStart"/>
      <w:r w:rsidRPr="3F598803">
        <w:rPr>
          <w:color w:val="231F20" w:themeColor="background1"/>
        </w:rPr>
        <w:t>period of time</w:t>
      </w:r>
      <w:proofErr w:type="gramEnd"/>
      <w:r w:rsidRPr="3F598803">
        <w:rPr>
          <w:color w:val="231F20" w:themeColor="background1"/>
        </w:rPr>
        <w:t xml:space="preserve"> to complete.</w:t>
      </w:r>
    </w:p>
    <w:p w14:paraId="497F3FF8" w14:textId="629811F3" w:rsidR="00DC0050" w:rsidRPr="00BE61B1" w:rsidRDefault="43D717E6" w:rsidP="3F598803">
      <w:pPr>
        <w:rPr>
          <w:color w:val="231F20" w:themeColor="background1"/>
        </w:rPr>
      </w:pPr>
      <w:r w:rsidRPr="3F598803">
        <w:rPr>
          <w:color w:val="231F20" w:themeColor="background1"/>
        </w:rPr>
        <w:t xml:space="preserve">The target CCT date may be </w:t>
      </w:r>
      <w:proofErr w:type="gramStart"/>
      <w:r w:rsidRPr="3F598803">
        <w:rPr>
          <w:color w:val="231F20" w:themeColor="background1"/>
        </w:rPr>
        <w:t>exactly the same</w:t>
      </w:r>
      <w:proofErr w:type="gramEnd"/>
      <w:r w:rsidRPr="3F598803">
        <w:rPr>
          <w:color w:val="231F20" w:themeColor="background1"/>
        </w:rPr>
        <w:t xml:space="preserve"> as it would be for a non-academic trainee, or it may be later than it would be for a non-academic trainee.</w:t>
      </w:r>
      <w:r w:rsidR="3563F799" w:rsidRPr="3F598803">
        <w:rPr>
          <w:color w:val="231F20" w:themeColor="background1"/>
        </w:rPr>
        <w:t xml:space="preserve"> </w:t>
      </w:r>
      <w:r w:rsidRPr="3F598803">
        <w:rPr>
          <w:color w:val="231F20" w:themeColor="background1"/>
        </w:rPr>
        <w:t xml:space="preserve">Once set, the CCT date can be extended further </w:t>
      </w:r>
      <w:proofErr w:type="gramStart"/>
      <w:r w:rsidRPr="3F598803">
        <w:rPr>
          <w:color w:val="231F20" w:themeColor="background1"/>
        </w:rPr>
        <w:t>through the use of</w:t>
      </w:r>
      <w:proofErr w:type="gramEnd"/>
      <w:r w:rsidRPr="3F598803">
        <w:rPr>
          <w:color w:val="231F20" w:themeColor="background1"/>
        </w:rPr>
        <w:t xml:space="preserve"> an ARCP Outcome 3. If there is a need to extend clinical </w:t>
      </w:r>
      <w:r w:rsidRPr="3F598803">
        <w:rPr>
          <w:color w:val="231F20" w:themeColor="background1"/>
        </w:rPr>
        <w:lastRenderedPageBreak/>
        <w:t>training this should not necessarily be regarded as a failure. Further information regarding the </w:t>
      </w:r>
      <w:hyperlink r:id="rId18">
        <w:r w:rsidRPr="3F598803">
          <w:rPr>
            <w:rStyle w:val="Hyperlink"/>
            <w:color w:val="231F20" w:themeColor="background1"/>
          </w:rPr>
          <w:t>assessment of academic progress (.PDF)</w:t>
        </w:r>
      </w:hyperlink>
      <w:r w:rsidRPr="3F598803">
        <w:rPr>
          <w:color w:val="231F20" w:themeColor="background1"/>
        </w:rPr>
        <w:t> is available from the AMS.</w:t>
      </w:r>
    </w:p>
    <w:p w14:paraId="13C51578" w14:textId="08552B5A" w:rsidR="00E8726E" w:rsidRDefault="00E8726E" w:rsidP="00732EF0">
      <w:pPr>
        <w:ind w:left="720"/>
      </w:pPr>
      <w:r>
        <w:t xml:space="preserve">4.147 An </w:t>
      </w:r>
      <w:r>
        <w:rPr>
          <w:u w:val="single"/>
        </w:rPr>
        <w:t>annual assessment of academic progress</w:t>
      </w:r>
      <w:r>
        <w:t xml:space="preserve"> must be undertaken and should take place at least one month before the joint academic/clinical ARCP panel convenes. Those present at this assessment should include the </w:t>
      </w:r>
      <w:r>
        <w:rPr>
          <w:b/>
          <w:bCs/>
        </w:rPr>
        <w:t>trainee</w:t>
      </w:r>
      <w:r>
        <w:t xml:space="preserve"> and </w:t>
      </w:r>
      <w:r>
        <w:rPr>
          <w:b/>
          <w:bCs/>
        </w:rPr>
        <w:t>educational supervisor</w:t>
      </w:r>
      <w:r>
        <w:t xml:space="preserve">, together with the </w:t>
      </w:r>
      <w:r>
        <w:rPr>
          <w:b/>
          <w:bCs/>
        </w:rPr>
        <w:t>director of the academic programme</w:t>
      </w:r>
      <w:r>
        <w:t xml:space="preserve"> </w:t>
      </w:r>
      <w:r w:rsidR="00AE73D5">
        <w:t xml:space="preserve">[or deputy] </w:t>
      </w:r>
      <w:r>
        <w:t>and other members of the academic unit as appropriate.</w:t>
      </w:r>
    </w:p>
    <w:p w14:paraId="0AD555B1" w14:textId="77777777" w:rsidR="00E8726E" w:rsidRDefault="00E8726E" w:rsidP="00732EF0">
      <w:pPr>
        <w:ind w:left="720"/>
      </w:pPr>
      <w:r>
        <w:t>4.149 The named academic supervisor is required to complete the ‘</w:t>
      </w:r>
      <w:r>
        <w:rPr>
          <w:b/>
          <w:bCs/>
        </w:rPr>
        <w:t>Report on Academic Trainees</w:t>
      </w:r>
      <w:r>
        <w:t>’ Progress’ form (GG9 Appendix 5), which needs to be signed by the trainee for submission to the annual joint academic/clinical ARCP panel. The form must include details of academic placements, academic training modules and other relevant academic experience, together with an assessment of the academic capabilities achieved.</w:t>
      </w:r>
    </w:p>
    <w:p w14:paraId="74BEDE4B" w14:textId="106FED31" w:rsidR="00457741" w:rsidRDefault="00E8726E" w:rsidP="00732EF0">
      <w:pPr>
        <w:ind w:left="720"/>
      </w:pPr>
      <w:r>
        <w:t>4.151 The trainee should not attend the panel meeting. Plans for academic trainees to meet with members of the panel</w:t>
      </w:r>
      <w:r w:rsidR="008336F0">
        <w:t xml:space="preserve"> following the ARCP</w:t>
      </w:r>
      <w:r>
        <w:t xml:space="preserve"> should only be made if the TPD or the named academic supervisor/lead for academic training indicates that </w:t>
      </w:r>
      <w:r>
        <w:rPr>
          <w:b/>
          <w:bCs/>
        </w:rPr>
        <w:t>Outcomes 2, 3 or 4, for either clinical or academic components (or both)</w:t>
      </w:r>
      <w:r>
        <w:t>, are a potential outcome from the panel. The ARCP outcome is a global assessment of progress, dependent on both clinical and academic reports to assess achievement.</w:t>
      </w:r>
    </w:p>
    <w:p w14:paraId="4E2AE5AE" w14:textId="77777777" w:rsidR="00E516BC" w:rsidRDefault="00E516BC">
      <w:pPr>
        <w:rPr>
          <w:b/>
          <w:bCs/>
          <w:sz w:val="32"/>
          <w:szCs w:val="32"/>
        </w:rPr>
      </w:pPr>
      <w:r w:rsidRPr="00E516BC">
        <w:rPr>
          <w:b/>
          <w:bCs/>
          <w:sz w:val="32"/>
          <w:szCs w:val="32"/>
        </w:rPr>
        <w:t>7</w:t>
      </w:r>
      <w:r w:rsidR="003B714B" w:rsidRPr="00E516BC">
        <w:rPr>
          <w:b/>
          <w:bCs/>
          <w:sz w:val="32"/>
          <w:szCs w:val="32"/>
        </w:rPr>
        <w:t xml:space="preserve">. Post CCT </w:t>
      </w:r>
      <w:r>
        <w:rPr>
          <w:b/>
          <w:bCs/>
          <w:sz w:val="32"/>
          <w:szCs w:val="32"/>
        </w:rPr>
        <w:t>E</w:t>
      </w:r>
      <w:r w:rsidR="003B714B" w:rsidRPr="00E516BC">
        <w:rPr>
          <w:b/>
          <w:bCs/>
          <w:sz w:val="32"/>
          <w:szCs w:val="32"/>
        </w:rPr>
        <w:t>xtensions</w:t>
      </w:r>
    </w:p>
    <w:p w14:paraId="49241BF0" w14:textId="4FB7830A" w:rsidR="007B1884" w:rsidRDefault="007B1884">
      <w:r>
        <w:t>There is a formal process</w:t>
      </w:r>
      <w:r w:rsidR="00906B91">
        <w:t xml:space="preserve"> in place with NIHR</w:t>
      </w:r>
      <w:r>
        <w:t xml:space="preserve"> for applying to extend a CL placement</w:t>
      </w:r>
      <w:r w:rsidR="00906B91">
        <w:t>. Details can be found at the following:</w:t>
      </w:r>
    </w:p>
    <w:p w14:paraId="5061DEAC" w14:textId="24E2E8AB" w:rsidR="00C0106C" w:rsidRDefault="00C0106C">
      <w:hyperlink r:id="rId19" w:history="1">
        <w:r w:rsidRPr="00C0106C">
          <w:rPr>
            <w:rStyle w:val="Hyperlink"/>
            <w:rFonts w:ascii="Arial" w:hAnsi="Arial"/>
          </w:rPr>
          <w:t>Extension process for Clinical Lectureship posts | NIHR</w:t>
        </w:r>
      </w:hyperlink>
    </w:p>
    <w:p w14:paraId="72F26D8B" w14:textId="577A1F6A" w:rsidR="00E516BC" w:rsidRDefault="006D4233" w:rsidP="00D82F72">
      <w:r>
        <w:t>Th</w:t>
      </w:r>
      <w:r w:rsidR="006449C8">
        <w:t>e</w:t>
      </w:r>
      <w:r>
        <w:t xml:space="preserve"> process </w:t>
      </w:r>
      <w:r w:rsidR="000A56C6">
        <w:t xml:space="preserve">involves </w:t>
      </w:r>
      <w:proofErr w:type="gramStart"/>
      <w:r w:rsidR="000A56C6">
        <w:t>a number of</w:t>
      </w:r>
      <w:proofErr w:type="gramEnd"/>
      <w:r w:rsidR="000A56C6">
        <w:t xml:space="preserve"> submissions of support from both the Academic/HEI and Clinical TPDs. The </w:t>
      </w:r>
      <w:r w:rsidR="00D83380">
        <w:t>Academic lead should also ensure that the Revalidation Officer</w:t>
      </w:r>
      <w:r w:rsidR="006449C8">
        <w:t xml:space="preserve"> at the employing LEP</w:t>
      </w:r>
      <w:r w:rsidR="00D83380">
        <w:t xml:space="preserve"> has confirmed that they</w:t>
      </w:r>
      <w:r w:rsidR="006449C8">
        <w:t xml:space="preserve"> will</w:t>
      </w:r>
      <w:r w:rsidR="00D83380">
        <w:t xml:space="preserve"> accept the responsibility for this role (</w:t>
      </w:r>
      <w:r w:rsidR="006449C8">
        <w:t xml:space="preserve">transferred from </w:t>
      </w:r>
      <w:r w:rsidR="00D83380">
        <w:t xml:space="preserve">the PG Dean) if the extension is approved. </w:t>
      </w:r>
      <w:r w:rsidR="00B92FDE">
        <w:t>Academic trainees who have taken up a post CC</w:t>
      </w:r>
      <w:r w:rsidR="00CA54CA">
        <w:t>T extension are no longer part of the clinical training programme.</w:t>
      </w:r>
    </w:p>
    <w:p w14:paraId="25EE3573" w14:textId="7AA1FE50" w:rsidR="00867EAF" w:rsidRDefault="00D82F72" w:rsidP="00D82F72">
      <w:pPr>
        <w:pStyle w:val="NumberedHeading1"/>
        <w:numPr>
          <w:ilvl w:val="0"/>
          <w:numId w:val="0"/>
        </w:numPr>
      </w:pPr>
      <w:r>
        <w:t xml:space="preserve">8. </w:t>
      </w:r>
      <w:r w:rsidR="00272C1E">
        <w:t>R</w:t>
      </w:r>
      <w:r w:rsidR="00480037">
        <w:t>esignations</w:t>
      </w:r>
    </w:p>
    <w:p w14:paraId="29E8287A" w14:textId="4A096899" w:rsidR="00480037" w:rsidRPr="00480037" w:rsidRDefault="7F8D71FF" w:rsidP="00480037">
      <w:proofErr w:type="gramStart"/>
      <w:r>
        <w:t>In the event that</w:t>
      </w:r>
      <w:proofErr w:type="gramEnd"/>
      <w:r>
        <w:t xml:space="preserve"> an individual resigns or is unsuccessful in progressing academically, they will rejoin a standard clinical training programme. </w:t>
      </w:r>
    </w:p>
    <w:p w14:paraId="6E03805B" w14:textId="0B76E240" w:rsidR="00480037" w:rsidRPr="00480037" w:rsidRDefault="2CEEC68A" w:rsidP="3F598803">
      <w:r>
        <w:lastRenderedPageBreak/>
        <w:t xml:space="preserve">If a </w:t>
      </w:r>
      <w:proofErr w:type="spellStart"/>
      <w:r>
        <w:t>PGDiT</w:t>
      </w:r>
      <w:proofErr w:type="spellEnd"/>
      <w:r>
        <w:t xml:space="preserve"> resigns from the academic component of their training earlier than anticipated, the Clinical Training Programme Directors and Academic lead will need to discuss how best to facilitate a return to an established training post, based on NIHR funding guidance, rotational information and individual circumstances.</w:t>
      </w:r>
    </w:p>
    <w:p w14:paraId="3FB71BCE" w14:textId="17E854DA" w:rsidR="00457741" w:rsidRDefault="007A64C5" w:rsidP="00867EAF">
      <w:r w:rsidRPr="007A64C5">
        <w:t xml:space="preserve">A </w:t>
      </w:r>
      <w:proofErr w:type="spellStart"/>
      <w:r>
        <w:t>PGDiT</w:t>
      </w:r>
      <w:proofErr w:type="spellEnd"/>
      <w:r w:rsidRPr="007A64C5">
        <w:t xml:space="preserve"> in an ‘uncoupled’ specialty who leaves the academic programme during core training will forfeit their access to automatic run-through training</w:t>
      </w:r>
      <w:r>
        <w:t>.</w:t>
      </w:r>
    </w:p>
    <w:p w14:paraId="7BC2593C" w14:textId="2FFFF087" w:rsidR="007A64C5" w:rsidRDefault="00626C20" w:rsidP="007A64C5">
      <w:pPr>
        <w:pStyle w:val="NumberedHeading1"/>
      </w:pPr>
      <w:r>
        <w:t>Useful Links</w:t>
      </w:r>
      <w:r w:rsidR="008473BF">
        <w:t xml:space="preserve"> and Information</w:t>
      </w:r>
    </w:p>
    <w:p w14:paraId="59438D84" w14:textId="4F189638" w:rsidR="00626C20" w:rsidRPr="00E3066C" w:rsidRDefault="001777C2" w:rsidP="00626C20">
      <w:pPr>
        <w:pStyle w:val="BodyText"/>
        <w:rPr>
          <w:color w:val="231F20" w:themeColor="background1"/>
        </w:rPr>
      </w:pPr>
      <w:r w:rsidRPr="00E3066C">
        <w:rPr>
          <w:color w:val="231F20" w:themeColor="background1"/>
        </w:rPr>
        <w:t>ACF:</w:t>
      </w:r>
      <w:r w:rsidRPr="009F6B33">
        <w:rPr>
          <w:color w:val="231F20" w:themeColor="background1"/>
        </w:rPr>
        <w:t xml:space="preserve"> </w:t>
      </w:r>
      <w:hyperlink r:id="rId20" w:history="1">
        <w:r w:rsidRPr="009F6B33">
          <w:rPr>
            <w:rStyle w:val="Hyperlink"/>
            <w:rFonts w:ascii="Arial" w:hAnsi="Arial"/>
            <w:color w:val="231F20" w:themeColor="background1"/>
          </w:rPr>
          <w:t>Academic Clinical Fellowship | NIHR</w:t>
        </w:r>
      </w:hyperlink>
    </w:p>
    <w:p w14:paraId="5A1696B3" w14:textId="5BEC2151" w:rsidR="006449C8" w:rsidRPr="009F6B33" w:rsidRDefault="006449C8" w:rsidP="00626C20">
      <w:pPr>
        <w:pStyle w:val="BodyText"/>
        <w:rPr>
          <w:color w:val="231F20" w:themeColor="background1"/>
        </w:rPr>
      </w:pPr>
      <w:r w:rsidRPr="009F6B33">
        <w:rPr>
          <w:color w:val="231F20" w:themeColor="background1"/>
        </w:rPr>
        <w:t xml:space="preserve">ACF </w:t>
      </w:r>
      <w:r w:rsidRPr="009F6B33">
        <w:rPr>
          <w:i/>
          <w:iCs/>
          <w:color w:val="231F20" w:themeColor="background1"/>
        </w:rPr>
        <w:t>Indicative</w:t>
      </w:r>
      <w:r w:rsidRPr="009F6B33">
        <w:rPr>
          <w:color w:val="231F20" w:themeColor="background1"/>
        </w:rPr>
        <w:t xml:space="preserve"> timelines</w:t>
      </w:r>
      <w:r w:rsidR="000D4C24" w:rsidRPr="009F6B33">
        <w:rPr>
          <w:color w:val="231F20" w:themeColor="background1"/>
        </w:rPr>
        <w:t xml:space="preserve"> (the exact dates will </w:t>
      </w:r>
      <w:r w:rsidR="00846BB9" w:rsidRPr="009F6B33">
        <w:rPr>
          <w:color w:val="231F20" w:themeColor="background1"/>
        </w:rPr>
        <w:t>be subject to change on an annual basis)</w:t>
      </w:r>
      <w:r w:rsidRPr="009F6B33">
        <w:rPr>
          <w:color w:val="231F20" w:themeColor="background1"/>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5430"/>
      </w:tblGrid>
      <w:tr w:rsidR="00281B53" w:rsidRPr="00281B53" w14:paraId="66BDABCA" w14:textId="77777777" w:rsidTr="3F598803">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9E2F3"/>
            <w:hideMark/>
          </w:tcPr>
          <w:p w14:paraId="56C1E010" w14:textId="0E42F780" w:rsidR="00281B53" w:rsidRPr="00281B53" w:rsidRDefault="62175861" w:rsidP="00281B53">
            <w:pPr>
              <w:pStyle w:val="BodyText"/>
            </w:pPr>
            <w:r w:rsidRPr="3F598803">
              <w:rPr>
                <w:b/>
                <w:bCs/>
              </w:rPr>
              <w:t>Academic Clinical Fellowship Timetable (England only) </w:t>
            </w:r>
            <w:r>
              <w:t> </w:t>
            </w:r>
          </w:p>
        </w:tc>
      </w:tr>
      <w:tr w:rsidR="00281B53" w:rsidRPr="00281B53" w14:paraId="004EA429" w14:textId="77777777" w:rsidTr="3F598803">
        <w:trPr>
          <w:trHeight w:val="300"/>
        </w:trPr>
        <w:tc>
          <w:tcPr>
            <w:tcW w:w="3585" w:type="dxa"/>
            <w:tcBorders>
              <w:top w:val="nil"/>
              <w:left w:val="single" w:sz="8" w:space="0" w:color="auto"/>
              <w:bottom w:val="single" w:sz="8" w:space="0" w:color="auto"/>
              <w:right w:val="single" w:sz="8" w:space="0" w:color="auto"/>
            </w:tcBorders>
          </w:tcPr>
          <w:p w14:paraId="164200C7" w14:textId="4B6ECE3E" w:rsidR="00281B53" w:rsidRPr="00281B53" w:rsidRDefault="00FF414F" w:rsidP="00281B53">
            <w:pPr>
              <w:pStyle w:val="BodyText"/>
            </w:pPr>
            <w:r>
              <w:t>Submission of bids by HEI</w:t>
            </w:r>
            <w:r w:rsidR="001A71D7">
              <w:t>s</w:t>
            </w:r>
          </w:p>
        </w:tc>
        <w:tc>
          <w:tcPr>
            <w:tcW w:w="5430" w:type="dxa"/>
            <w:tcBorders>
              <w:top w:val="nil"/>
              <w:left w:val="nil"/>
              <w:bottom w:val="single" w:sz="8" w:space="0" w:color="auto"/>
              <w:right w:val="single" w:sz="8" w:space="0" w:color="auto"/>
            </w:tcBorders>
          </w:tcPr>
          <w:p w14:paraId="7D249AAC" w14:textId="18811647" w:rsidR="00281B53" w:rsidRPr="00281B53" w:rsidRDefault="00FF414F" w:rsidP="00281B53">
            <w:pPr>
              <w:pStyle w:val="BodyText"/>
            </w:pPr>
            <w:r>
              <w:t>March 2024</w:t>
            </w:r>
          </w:p>
        </w:tc>
      </w:tr>
      <w:tr w:rsidR="0031449E" w:rsidRPr="00281B53" w14:paraId="5A1DABE4" w14:textId="77777777" w:rsidTr="3F598803">
        <w:trPr>
          <w:trHeight w:val="300"/>
        </w:trPr>
        <w:tc>
          <w:tcPr>
            <w:tcW w:w="3585" w:type="dxa"/>
            <w:tcBorders>
              <w:top w:val="nil"/>
              <w:left w:val="single" w:sz="8" w:space="0" w:color="auto"/>
              <w:bottom w:val="single" w:sz="8" w:space="0" w:color="auto"/>
              <w:right w:val="single" w:sz="8" w:space="0" w:color="auto"/>
            </w:tcBorders>
          </w:tcPr>
          <w:p w14:paraId="48385FD6" w14:textId="086D4E7F" w:rsidR="0031449E" w:rsidRDefault="0031449E" w:rsidP="00281B53">
            <w:pPr>
              <w:pStyle w:val="BodyText"/>
            </w:pPr>
            <w:r>
              <w:t xml:space="preserve">Notification of </w:t>
            </w:r>
            <w:r w:rsidR="006F4443">
              <w:t>outcome of bidding process</w:t>
            </w:r>
          </w:p>
        </w:tc>
        <w:tc>
          <w:tcPr>
            <w:tcW w:w="5430" w:type="dxa"/>
            <w:tcBorders>
              <w:top w:val="nil"/>
              <w:left w:val="nil"/>
              <w:bottom w:val="single" w:sz="8" w:space="0" w:color="auto"/>
              <w:right w:val="single" w:sz="8" w:space="0" w:color="auto"/>
            </w:tcBorders>
          </w:tcPr>
          <w:p w14:paraId="35C177CC" w14:textId="68641F04" w:rsidR="0031449E" w:rsidRDefault="006F4443" w:rsidP="00281B53">
            <w:pPr>
              <w:pStyle w:val="BodyText"/>
            </w:pPr>
            <w:r>
              <w:t>July 2024</w:t>
            </w:r>
          </w:p>
        </w:tc>
      </w:tr>
      <w:tr w:rsidR="000D4C24" w:rsidRPr="00281B53" w14:paraId="366C8A66" w14:textId="77777777" w:rsidTr="3F598803">
        <w:trPr>
          <w:trHeight w:val="300"/>
        </w:trPr>
        <w:tc>
          <w:tcPr>
            <w:tcW w:w="3585" w:type="dxa"/>
            <w:tcBorders>
              <w:top w:val="nil"/>
              <w:left w:val="single" w:sz="8" w:space="0" w:color="auto"/>
              <w:bottom w:val="single" w:sz="8" w:space="0" w:color="auto"/>
              <w:right w:val="single" w:sz="8" w:space="0" w:color="auto"/>
            </w:tcBorders>
          </w:tcPr>
          <w:p w14:paraId="1238027A" w14:textId="3473784B" w:rsidR="000D4C24" w:rsidRDefault="000D4C24" w:rsidP="00281B53">
            <w:pPr>
              <w:pStyle w:val="BodyText"/>
            </w:pPr>
            <w:r w:rsidRPr="000D4C24">
              <w:t xml:space="preserve">Confirmation of posts and approved specialties received from NIHR </w:t>
            </w:r>
          </w:p>
        </w:tc>
        <w:tc>
          <w:tcPr>
            <w:tcW w:w="5430" w:type="dxa"/>
            <w:tcBorders>
              <w:top w:val="nil"/>
              <w:left w:val="nil"/>
              <w:bottom w:val="single" w:sz="8" w:space="0" w:color="auto"/>
              <w:right w:val="single" w:sz="8" w:space="0" w:color="auto"/>
            </w:tcBorders>
          </w:tcPr>
          <w:p w14:paraId="09C3C516" w14:textId="0F97AB66" w:rsidR="000D4C24" w:rsidRDefault="000D4C24" w:rsidP="00281B53">
            <w:pPr>
              <w:pStyle w:val="BodyText"/>
            </w:pPr>
            <w:r>
              <w:t>10</w:t>
            </w:r>
            <w:r w:rsidRPr="001A71D7">
              <w:rPr>
                <w:vertAlign w:val="superscript"/>
              </w:rPr>
              <w:t>th</w:t>
            </w:r>
            <w:r>
              <w:t xml:space="preserve"> September 2024</w:t>
            </w:r>
          </w:p>
        </w:tc>
      </w:tr>
      <w:tr w:rsidR="00846BB9" w:rsidRPr="00281B53" w14:paraId="6B3B5C21" w14:textId="77777777" w:rsidTr="3F598803">
        <w:trPr>
          <w:trHeight w:val="300"/>
        </w:trPr>
        <w:tc>
          <w:tcPr>
            <w:tcW w:w="3585" w:type="dxa"/>
            <w:tcBorders>
              <w:top w:val="nil"/>
              <w:left w:val="single" w:sz="8" w:space="0" w:color="auto"/>
              <w:bottom w:val="single" w:sz="8" w:space="0" w:color="auto"/>
              <w:right w:val="single" w:sz="8" w:space="0" w:color="auto"/>
            </w:tcBorders>
          </w:tcPr>
          <w:p w14:paraId="0D961314" w14:textId="4FF8217D" w:rsidR="00846BB9" w:rsidRPr="000D4C24" w:rsidRDefault="00846BB9" w:rsidP="00281B53">
            <w:pPr>
              <w:pStyle w:val="BodyText"/>
            </w:pPr>
            <w:r w:rsidRPr="00846BB9">
              <w:t>Vacancy level</w:t>
            </w:r>
            <w:r w:rsidR="001A71D7">
              <w:t xml:space="preserve">s </w:t>
            </w:r>
            <w:r w:rsidRPr="00846BB9">
              <w:t>and Job description</w:t>
            </w:r>
            <w:r w:rsidR="001A71D7">
              <w:t>s</w:t>
            </w:r>
            <w:r w:rsidRPr="00846BB9">
              <w:t xml:space="preserve"> confirmed</w:t>
            </w:r>
          </w:p>
        </w:tc>
        <w:tc>
          <w:tcPr>
            <w:tcW w:w="5430" w:type="dxa"/>
            <w:tcBorders>
              <w:top w:val="nil"/>
              <w:left w:val="nil"/>
              <w:bottom w:val="single" w:sz="8" w:space="0" w:color="auto"/>
              <w:right w:val="single" w:sz="8" w:space="0" w:color="auto"/>
            </w:tcBorders>
          </w:tcPr>
          <w:p w14:paraId="5166AE59" w14:textId="2704BC65" w:rsidR="00846BB9" w:rsidRDefault="00846BB9" w:rsidP="00281B53">
            <w:pPr>
              <w:pStyle w:val="BodyText"/>
            </w:pPr>
            <w:r>
              <w:t>23</w:t>
            </w:r>
            <w:r w:rsidRPr="001A71D7">
              <w:rPr>
                <w:vertAlign w:val="superscript"/>
              </w:rPr>
              <w:t>rd</w:t>
            </w:r>
            <w:r>
              <w:t xml:space="preserve"> September 2024</w:t>
            </w:r>
          </w:p>
        </w:tc>
      </w:tr>
      <w:tr w:rsidR="001A71D7" w:rsidRPr="00281B53" w14:paraId="3B66CA67" w14:textId="77777777" w:rsidTr="3F598803">
        <w:trPr>
          <w:trHeight w:val="300"/>
        </w:trPr>
        <w:tc>
          <w:tcPr>
            <w:tcW w:w="3585" w:type="dxa"/>
            <w:tcBorders>
              <w:top w:val="nil"/>
              <w:left w:val="single" w:sz="8" w:space="0" w:color="auto"/>
              <w:bottom w:val="single" w:sz="8" w:space="0" w:color="auto"/>
              <w:right w:val="single" w:sz="8" w:space="0" w:color="auto"/>
            </w:tcBorders>
          </w:tcPr>
          <w:p w14:paraId="7E2AF73A" w14:textId="0456BBF2" w:rsidR="001A71D7" w:rsidRPr="00846BB9" w:rsidRDefault="001A71D7" w:rsidP="00281B53">
            <w:pPr>
              <w:pStyle w:val="BodyText"/>
            </w:pPr>
            <w:r w:rsidRPr="001A71D7">
              <w:t>Website and Job description</w:t>
            </w:r>
            <w:r>
              <w:t>s</w:t>
            </w:r>
            <w:r w:rsidRPr="001A71D7">
              <w:t xml:space="preserve"> published</w:t>
            </w:r>
          </w:p>
        </w:tc>
        <w:tc>
          <w:tcPr>
            <w:tcW w:w="5430" w:type="dxa"/>
            <w:tcBorders>
              <w:top w:val="nil"/>
              <w:left w:val="nil"/>
              <w:bottom w:val="single" w:sz="8" w:space="0" w:color="auto"/>
              <w:right w:val="single" w:sz="8" w:space="0" w:color="auto"/>
            </w:tcBorders>
          </w:tcPr>
          <w:p w14:paraId="515B6CB9" w14:textId="410122F5" w:rsidR="001A71D7" w:rsidRDefault="001A71D7" w:rsidP="00281B53">
            <w:pPr>
              <w:pStyle w:val="BodyText"/>
            </w:pPr>
            <w:r>
              <w:t>30</w:t>
            </w:r>
            <w:r w:rsidRPr="001A71D7">
              <w:rPr>
                <w:vertAlign w:val="superscript"/>
              </w:rPr>
              <w:t>th</w:t>
            </w:r>
            <w:r>
              <w:t xml:space="preserve"> September 2024</w:t>
            </w:r>
          </w:p>
        </w:tc>
      </w:tr>
      <w:tr w:rsidR="00281B53" w:rsidRPr="00281B53" w14:paraId="7D8B92B5" w14:textId="77777777" w:rsidTr="3F598803">
        <w:trPr>
          <w:trHeight w:val="300"/>
        </w:trPr>
        <w:tc>
          <w:tcPr>
            <w:tcW w:w="3585" w:type="dxa"/>
            <w:tcBorders>
              <w:top w:val="nil"/>
              <w:left w:val="single" w:sz="8" w:space="0" w:color="auto"/>
              <w:bottom w:val="single" w:sz="8" w:space="0" w:color="auto"/>
              <w:right w:val="single" w:sz="8" w:space="0" w:color="auto"/>
            </w:tcBorders>
            <w:hideMark/>
          </w:tcPr>
          <w:p w14:paraId="15744664" w14:textId="77777777" w:rsidR="00281B53" w:rsidRPr="00281B53" w:rsidRDefault="00281B53" w:rsidP="00281B53">
            <w:pPr>
              <w:pStyle w:val="BodyText"/>
            </w:pPr>
            <w:r w:rsidRPr="00281B53">
              <w:t>Applications open </w:t>
            </w:r>
          </w:p>
        </w:tc>
        <w:tc>
          <w:tcPr>
            <w:tcW w:w="5430" w:type="dxa"/>
            <w:tcBorders>
              <w:top w:val="nil"/>
              <w:left w:val="nil"/>
              <w:bottom w:val="single" w:sz="8" w:space="0" w:color="auto"/>
              <w:right w:val="single" w:sz="8" w:space="0" w:color="auto"/>
            </w:tcBorders>
            <w:hideMark/>
          </w:tcPr>
          <w:p w14:paraId="28BD3449" w14:textId="77777777" w:rsidR="00281B53" w:rsidRPr="00281B53" w:rsidRDefault="00281B53" w:rsidP="00281B53">
            <w:pPr>
              <w:pStyle w:val="BodyText"/>
            </w:pPr>
            <w:r w:rsidRPr="00281B53">
              <w:t>Thursday 3 October 2024 </w:t>
            </w:r>
          </w:p>
        </w:tc>
      </w:tr>
      <w:tr w:rsidR="00281B53" w:rsidRPr="00281B53" w14:paraId="2EF6C886" w14:textId="77777777" w:rsidTr="3F598803">
        <w:trPr>
          <w:trHeight w:val="300"/>
        </w:trPr>
        <w:tc>
          <w:tcPr>
            <w:tcW w:w="3585" w:type="dxa"/>
            <w:tcBorders>
              <w:top w:val="nil"/>
              <w:left w:val="single" w:sz="8" w:space="0" w:color="auto"/>
              <w:bottom w:val="single" w:sz="8" w:space="0" w:color="auto"/>
              <w:right w:val="single" w:sz="8" w:space="0" w:color="auto"/>
            </w:tcBorders>
            <w:hideMark/>
          </w:tcPr>
          <w:p w14:paraId="6E8820D0" w14:textId="77777777" w:rsidR="00281B53" w:rsidRPr="00281B53" w:rsidRDefault="00281B53" w:rsidP="00281B53">
            <w:pPr>
              <w:pStyle w:val="BodyText"/>
            </w:pPr>
            <w:r w:rsidRPr="00281B53">
              <w:t>Applications close </w:t>
            </w:r>
          </w:p>
        </w:tc>
        <w:tc>
          <w:tcPr>
            <w:tcW w:w="5430" w:type="dxa"/>
            <w:tcBorders>
              <w:top w:val="nil"/>
              <w:left w:val="nil"/>
              <w:bottom w:val="single" w:sz="8" w:space="0" w:color="auto"/>
              <w:right w:val="single" w:sz="8" w:space="0" w:color="auto"/>
            </w:tcBorders>
            <w:hideMark/>
          </w:tcPr>
          <w:p w14:paraId="775FBD86" w14:textId="77777777" w:rsidR="00281B53" w:rsidRPr="00281B53" w:rsidRDefault="00281B53" w:rsidP="00281B53">
            <w:pPr>
              <w:pStyle w:val="BodyText"/>
            </w:pPr>
            <w:r w:rsidRPr="00281B53">
              <w:t>Thursday 31 October 2024 </w:t>
            </w:r>
          </w:p>
        </w:tc>
      </w:tr>
      <w:tr w:rsidR="00281B53" w:rsidRPr="00281B53" w14:paraId="613867B2" w14:textId="77777777" w:rsidTr="3F598803">
        <w:trPr>
          <w:trHeight w:val="300"/>
        </w:trPr>
        <w:tc>
          <w:tcPr>
            <w:tcW w:w="3585" w:type="dxa"/>
            <w:tcBorders>
              <w:top w:val="nil"/>
              <w:left w:val="single" w:sz="8" w:space="0" w:color="auto"/>
              <w:bottom w:val="single" w:sz="8" w:space="0" w:color="auto"/>
              <w:right w:val="single" w:sz="8" w:space="0" w:color="auto"/>
            </w:tcBorders>
            <w:hideMark/>
          </w:tcPr>
          <w:p w14:paraId="4C77867C" w14:textId="77777777" w:rsidR="00281B53" w:rsidRPr="00281B53" w:rsidRDefault="00281B53" w:rsidP="00281B53">
            <w:pPr>
              <w:pStyle w:val="BodyText"/>
            </w:pPr>
            <w:r w:rsidRPr="00281B53">
              <w:t>Interview window </w:t>
            </w:r>
          </w:p>
        </w:tc>
        <w:tc>
          <w:tcPr>
            <w:tcW w:w="5430" w:type="dxa"/>
            <w:tcBorders>
              <w:top w:val="nil"/>
              <w:left w:val="nil"/>
              <w:bottom w:val="single" w:sz="8" w:space="0" w:color="auto"/>
              <w:right w:val="single" w:sz="8" w:space="0" w:color="auto"/>
            </w:tcBorders>
            <w:hideMark/>
          </w:tcPr>
          <w:p w14:paraId="206F19AB" w14:textId="77777777" w:rsidR="00281B53" w:rsidRPr="00281B53" w:rsidRDefault="00281B53" w:rsidP="00281B53">
            <w:pPr>
              <w:pStyle w:val="BodyText"/>
            </w:pPr>
            <w:r w:rsidRPr="00281B53">
              <w:t>Monday 11 November 2024 to Friday 17 January 2025 </w:t>
            </w:r>
          </w:p>
        </w:tc>
      </w:tr>
      <w:tr w:rsidR="00281B53" w:rsidRPr="00281B53" w14:paraId="08860C29" w14:textId="77777777" w:rsidTr="3F598803">
        <w:trPr>
          <w:trHeight w:val="300"/>
        </w:trPr>
        <w:tc>
          <w:tcPr>
            <w:tcW w:w="3585" w:type="dxa"/>
            <w:tcBorders>
              <w:top w:val="nil"/>
              <w:left w:val="single" w:sz="8" w:space="0" w:color="auto"/>
              <w:bottom w:val="single" w:sz="8" w:space="0" w:color="auto"/>
              <w:right w:val="single" w:sz="8" w:space="0" w:color="auto"/>
            </w:tcBorders>
            <w:hideMark/>
          </w:tcPr>
          <w:p w14:paraId="4BEF08CE" w14:textId="77777777" w:rsidR="00281B53" w:rsidRPr="00281B53" w:rsidRDefault="00281B53" w:rsidP="00281B53">
            <w:pPr>
              <w:pStyle w:val="BodyText"/>
            </w:pPr>
            <w:r w:rsidRPr="00281B53">
              <w:t>Initial Offers out from </w:t>
            </w:r>
          </w:p>
        </w:tc>
        <w:tc>
          <w:tcPr>
            <w:tcW w:w="5430" w:type="dxa"/>
            <w:tcBorders>
              <w:top w:val="nil"/>
              <w:left w:val="nil"/>
              <w:bottom w:val="single" w:sz="8" w:space="0" w:color="auto"/>
              <w:right w:val="single" w:sz="8" w:space="0" w:color="auto"/>
            </w:tcBorders>
            <w:hideMark/>
          </w:tcPr>
          <w:p w14:paraId="2C31AB51" w14:textId="77777777" w:rsidR="00281B53" w:rsidRPr="00281B53" w:rsidRDefault="00281B53" w:rsidP="00281B53">
            <w:pPr>
              <w:pStyle w:val="BodyText"/>
            </w:pPr>
            <w:r w:rsidRPr="00281B53">
              <w:t>Tuesday 21 January 2025 </w:t>
            </w:r>
          </w:p>
        </w:tc>
      </w:tr>
      <w:tr w:rsidR="00281B53" w:rsidRPr="00281B53" w14:paraId="7DD58D54" w14:textId="77777777" w:rsidTr="3F598803">
        <w:trPr>
          <w:trHeight w:val="300"/>
        </w:trPr>
        <w:tc>
          <w:tcPr>
            <w:tcW w:w="3585" w:type="dxa"/>
            <w:tcBorders>
              <w:top w:val="nil"/>
              <w:left w:val="single" w:sz="8" w:space="0" w:color="auto"/>
              <w:bottom w:val="single" w:sz="8" w:space="0" w:color="auto"/>
              <w:right w:val="single" w:sz="8" w:space="0" w:color="auto"/>
            </w:tcBorders>
            <w:hideMark/>
          </w:tcPr>
          <w:p w14:paraId="198D2A2F" w14:textId="77777777" w:rsidR="00281B53" w:rsidRPr="00281B53" w:rsidRDefault="00281B53" w:rsidP="00281B53">
            <w:pPr>
              <w:pStyle w:val="BodyText"/>
            </w:pPr>
            <w:r w:rsidRPr="00281B53">
              <w:t>Hold deadline </w:t>
            </w:r>
          </w:p>
        </w:tc>
        <w:tc>
          <w:tcPr>
            <w:tcW w:w="5430" w:type="dxa"/>
            <w:tcBorders>
              <w:top w:val="nil"/>
              <w:left w:val="nil"/>
              <w:bottom w:val="single" w:sz="8" w:space="0" w:color="auto"/>
              <w:right w:val="single" w:sz="8" w:space="0" w:color="auto"/>
            </w:tcBorders>
            <w:hideMark/>
          </w:tcPr>
          <w:p w14:paraId="579803C5" w14:textId="77777777" w:rsidR="00281B53" w:rsidRPr="00281B53" w:rsidRDefault="00281B53" w:rsidP="00281B53">
            <w:pPr>
              <w:pStyle w:val="BodyText"/>
            </w:pPr>
            <w:r w:rsidRPr="00281B53">
              <w:t>Tuesday 28 January 2025 </w:t>
            </w:r>
          </w:p>
        </w:tc>
      </w:tr>
    </w:tbl>
    <w:p w14:paraId="71824275" w14:textId="77777777" w:rsidR="006449C8" w:rsidRDefault="006449C8" w:rsidP="00626C20">
      <w:pPr>
        <w:pStyle w:val="BodyText"/>
      </w:pPr>
    </w:p>
    <w:p w14:paraId="36ECB291" w14:textId="342D31FF" w:rsidR="001777C2" w:rsidRPr="00E3066C" w:rsidRDefault="001777C2" w:rsidP="00626C20">
      <w:pPr>
        <w:pStyle w:val="BodyText"/>
        <w:rPr>
          <w:color w:val="231F20" w:themeColor="background1"/>
        </w:rPr>
      </w:pPr>
      <w:r w:rsidRPr="00E3066C">
        <w:rPr>
          <w:color w:val="231F20" w:themeColor="background1"/>
        </w:rPr>
        <w:t>CL:</w:t>
      </w:r>
      <w:r w:rsidRPr="009F6B33">
        <w:rPr>
          <w:color w:val="003087" w:themeColor="accent1"/>
        </w:rPr>
        <w:t xml:space="preserve"> </w:t>
      </w:r>
      <w:hyperlink r:id="rId21" w:history="1">
        <w:r w:rsidRPr="009F6B33">
          <w:rPr>
            <w:rStyle w:val="Hyperlink"/>
            <w:rFonts w:ascii="Arial" w:hAnsi="Arial"/>
          </w:rPr>
          <w:t>Clinical Lectureship | NIHR</w:t>
        </w:r>
      </w:hyperlink>
    </w:p>
    <w:p w14:paraId="06418426" w14:textId="6BD193E2" w:rsidR="00384A73" w:rsidRPr="00E3066C" w:rsidRDefault="00BB180F" w:rsidP="007715F3">
      <w:pPr>
        <w:pStyle w:val="BodyText"/>
        <w:rPr>
          <w:rFonts w:cs="Arial"/>
          <w:color w:val="231F20" w:themeColor="background1"/>
        </w:rPr>
      </w:pPr>
      <w:r w:rsidRPr="00E3066C">
        <w:rPr>
          <w:rFonts w:cs="Arial"/>
          <w:color w:val="231F20" w:themeColor="background1"/>
        </w:rPr>
        <w:t xml:space="preserve">CLs are recruited by the local HEI at </w:t>
      </w:r>
      <w:r w:rsidR="00E65F61" w:rsidRPr="00E3066C">
        <w:rPr>
          <w:rFonts w:cs="Arial"/>
          <w:color w:val="231F20" w:themeColor="background1"/>
        </w:rPr>
        <w:t>various points in the year. A general outline of the steps is included</w:t>
      </w:r>
      <w:r w:rsidR="00384A73" w:rsidRPr="00E3066C">
        <w:rPr>
          <w:rFonts w:cs="Arial"/>
          <w:color w:val="231F20" w:themeColor="background1"/>
        </w:rPr>
        <w:t>.</w:t>
      </w:r>
    </w:p>
    <w:p w14:paraId="213B14F7" w14:textId="77777777" w:rsidR="00E91987" w:rsidRDefault="007715F3" w:rsidP="00E91987">
      <w:pPr>
        <w:pStyle w:val="BodyText"/>
        <w:numPr>
          <w:ilvl w:val="0"/>
          <w:numId w:val="24"/>
        </w:numPr>
        <w:rPr>
          <w:rFonts w:cs="Arial"/>
          <w:color w:val="231F20" w:themeColor="background1"/>
        </w:rPr>
      </w:pPr>
      <w:bookmarkStart w:id="6" w:name="_Hlk207796885"/>
      <w:r w:rsidRPr="00E3066C">
        <w:rPr>
          <w:rFonts w:cs="Arial"/>
          <w:color w:val="231F20" w:themeColor="background1"/>
        </w:rPr>
        <w:t>Existing ACFs</w:t>
      </w:r>
      <w:r w:rsidR="007D5B87" w:rsidRPr="00E3066C">
        <w:rPr>
          <w:rFonts w:cs="Arial"/>
          <w:color w:val="231F20" w:themeColor="background1"/>
        </w:rPr>
        <w:t>/ OOPR</w:t>
      </w:r>
      <w:r w:rsidRPr="00E3066C">
        <w:rPr>
          <w:rFonts w:cs="Arial"/>
          <w:color w:val="231F20" w:themeColor="background1"/>
        </w:rPr>
        <w:t xml:space="preserve"> sounded out on an annual basis regarding their career plans.</w:t>
      </w:r>
      <w:bookmarkEnd w:id="6"/>
    </w:p>
    <w:p w14:paraId="4F57FF09" w14:textId="77777777" w:rsidR="00E91987" w:rsidRDefault="00D34E96" w:rsidP="00E91987">
      <w:pPr>
        <w:pStyle w:val="BodyText"/>
        <w:numPr>
          <w:ilvl w:val="0"/>
          <w:numId w:val="24"/>
        </w:numPr>
        <w:rPr>
          <w:rFonts w:cs="Arial"/>
          <w:color w:val="231F20" w:themeColor="background1"/>
        </w:rPr>
      </w:pPr>
      <w:r w:rsidRPr="00E91987">
        <w:rPr>
          <w:rFonts w:cs="Arial"/>
          <w:color w:val="231F20" w:themeColor="background1"/>
        </w:rPr>
        <w:t>Existing ACFs/ OOPR sounded out on an annual basis regarding their career plans.</w:t>
      </w:r>
    </w:p>
    <w:p w14:paraId="631E1670" w14:textId="77777777" w:rsidR="00E91987" w:rsidRDefault="00D34E96" w:rsidP="00E91987">
      <w:pPr>
        <w:pStyle w:val="BodyText"/>
        <w:numPr>
          <w:ilvl w:val="0"/>
          <w:numId w:val="24"/>
        </w:numPr>
        <w:rPr>
          <w:rFonts w:cs="Arial"/>
          <w:color w:val="231F20" w:themeColor="background1"/>
        </w:rPr>
      </w:pPr>
      <w:r w:rsidRPr="00E91987">
        <w:rPr>
          <w:rFonts w:cs="Arial"/>
          <w:color w:val="231F20" w:themeColor="background1"/>
        </w:rPr>
        <w:lastRenderedPageBreak/>
        <w:t>Discussion about potential for CL 12 months before end of PhD</w:t>
      </w:r>
      <w:r w:rsidR="007B2264" w:rsidRPr="00E91987">
        <w:rPr>
          <w:rFonts w:cs="Arial"/>
          <w:color w:val="231F20" w:themeColor="background1"/>
        </w:rPr>
        <w:t>. CL posts are open to external candidates and are appointed in open competition and no person is guaranteed a post.</w:t>
      </w:r>
    </w:p>
    <w:p w14:paraId="5A9C23CE" w14:textId="77777777" w:rsidR="00E91987" w:rsidRDefault="00D34E96" w:rsidP="00E91987">
      <w:pPr>
        <w:pStyle w:val="BodyText"/>
        <w:numPr>
          <w:ilvl w:val="0"/>
          <w:numId w:val="24"/>
        </w:numPr>
        <w:rPr>
          <w:rFonts w:cs="Arial"/>
          <w:color w:val="231F20" w:themeColor="background1"/>
        </w:rPr>
      </w:pPr>
      <w:r w:rsidRPr="00E91987">
        <w:rPr>
          <w:rFonts w:cs="Arial"/>
          <w:color w:val="231F20" w:themeColor="background1"/>
        </w:rPr>
        <w:t>Discussion with clinical TPD, potential start dates, requirements for placement, potential start date to allow accommodation into programme.</w:t>
      </w:r>
      <w:r w:rsidR="00973213" w:rsidRPr="00E91987">
        <w:rPr>
          <w:rFonts w:cs="Arial"/>
          <w:color w:val="231F20" w:themeColor="background1"/>
        </w:rPr>
        <w:t xml:space="preserve"> </w:t>
      </w:r>
    </w:p>
    <w:p w14:paraId="23065CAD" w14:textId="77777777" w:rsidR="00E91987" w:rsidRDefault="00D34E96" w:rsidP="00E91987">
      <w:pPr>
        <w:pStyle w:val="BodyText"/>
        <w:numPr>
          <w:ilvl w:val="0"/>
          <w:numId w:val="24"/>
        </w:numPr>
        <w:rPr>
          <w:rFonts w:cs="Arial"/>
          <w:color w:val="231F20" w:themeColor="background1"/>
        </w:rPr>
      </w:pPr>
      <w:r w:rsidRPr="00E91987">
        <w:rPr>
          <w:rFonts w:cs="Arial"/>
          <w:color w:val="231F20" w:themeColor="background1"/>
        </w:rPr>
        <w:t xml:space="preserve">HEI advert goes out – open nationally </w:t>
      </w:r>
    </w:p>
    <w:p w14:paraId="2F952420" w14:textId="77777777" w:rsidR="00E91987" w:rsidRDefault="00D34E96" w:rsidP="00E91987">
      <w:pPr>
        <w:pStyle w:val="BodyText"/>
        <w:numPr>
          <w:ilvl w:val="0"/>
          <w:numId w:val="24"/>
        </w:numPr>
        <w:rPr>
          <w:rFonts w:cs="Arial"/>
          <w:color w:val="231F20" w:themeColor="background1"/>
        </w:rPr>
      </w:pPr>
      <w:r w:rsidRPr="00E91987">
        <w:rPr>
          <w:rFonts w:cs="Arial"/>
          <w:color w:val="231F20" w:themeColor="background1"/>
        </w:rPr>
        <w:t xml:space="preserve">Interviews (local HEI - </w:t>
      </w:r>
      <w:r w:rsidRPr="00E91987">
        <w:rPr>
          <w:rFonts w:cs="Arial"/>
          <w:color w:val="231F20" w:themeColor="background1"/>
          <w:u w:val="single"/>
        </w:rPr>
        <w:t>appointment panel includes clinical TPD</w:t>
      </w:r>
      <w:r w:rsidRPr="00E91987">
        <w:rPr>
          <w:rFonts w:cs="Arial"/>
          <w:color w:val="231F20" w:themeColor="background1"/>
        </w:rPr>
        <w:t>)</w:t>
      </w:r>
    </w:p>
    <w:p w14:paraId="44F28278" w14:textId="77777777" w:rsidR="00E91987" w:rsidRDefault="00D34E96" w:rsidP="00E91987">
      <w:pPr>
        <w:pStyle w:val="BodyText"/>
        <w:numPr>
          <w:ilvl w:val="0"/>
          <w:numId w:val="24"/>
        </w:numPr>
        <w:rPr>
          <w:rFonts w:cs="Arial"/>
          <w:color w:val="231F20" w:themeColor="background1"/>
        </w:rPr>
      </w:pPr>
      <w:r w:rsidRPr="00E91987">
        <w:rPr>
          <w:rFonts w:cs="Arial"/>
          <w:color w:val="231F20" w:themeColor="background1"/>
        </w:rPr>
        <w:t>Offers and acceptance</w:t>
      </w:r>
    </w:p>
    <w:p w14:paraId="62400C5E" w14:textId="77777777" w:rsidR="00E91987" w:rsidRDefault="00D34E96" w:rsidP="00E91987">
      <w:pPr>
        <w:pStyle w:val="BodyText"/>
        <w:numPr>
          <w:ilvl w:val="0"/>
          <w:numId w:val="24"/>
        </w:numPr>
        <w:rPr>
          <w:rFonts w:cs="Arial"/>
          <w:color w:val="231F20" w:themeColor="background1"/>
        </w:rPr>
      </w:pPr>
      <w:r w:rsidRPr="00E91987">
        <w:rPr>
          <w:rFonts w:cs="Arial"/>
          <w:color w:val="231F20" w:themeColor="background1"/>
        </w:rPr>
        <w:t>Confirmation with clinical TPD and discussions around work patterns etc, placement confirmation and start date</w:t>
      </w:r>
    </w:p>
    <w:p w14:paraId="4838F564" w14:textId="2E361D1A" w:rsidR="009167AE" w:rsidRPr="00E91987" w:rsidRDefault="00D34E96" w:rsidP="009167AE">
      <w:pPr>
        <w:pStyle w:val="BodyText"/>
        <w:numPr>
          <w:ilvl w:val="0"/>
          <w:numId w:val="24"/>
        </w:numPr>
        <w:rPr>
          <w:rFonts w:cs="Arial"/>
          <w:color w:val="231F20" w:themeColor="background1"/>
        </w:rPr>
      </w:pPr>
      <w:r w:rsidRPr="00E91987">
        <w:rPr>
          <w:rFonts w:cs="Arial"/>
          <w:color w:val="231F20" w:themeColor="background1"/>
        </w:rPr>
        <w:t xml:space="preserve">Starts CL </w:t>
      </w:r>
      <w:r w:rsidR="00E91987">
        <w:rPr>
          <w:rFonts w:cs="Arial"/>
          <w:color w:val="231F20" w:themeColor="background1"/>
        </w:rPr>
        <w:t>placement.</w:t>
      </w:r>
    </w:p>
    <w:p w14:paraId="69899A60" w14:textId="24E3EA6A" w:rsidR="00901DC9" w:rsidRPr="009F6B33" w:rsidRDefault="00901DC9" w:rsidP="009167AE">
      <w:pPr>
        <w:pStyle w:val="BodyText"/>
        <w:rPr>
          <w:color w:val="231F20" w:themeColor="background1"/>
        </w:rPr>
      </w:pPr>
      <w:r w:rsidRPr="009F6B33">
        <w:rPr>
          <w:color w:val="231F20" w:themeColor="background1"/>
        </w:rPr>
        <w:t xml:space="preserve">An indicative timeline would be 10 months from point 3 </w:t>
      </w:r>
      <w:r w:rsidR="00A2312D" w:rsidRPr="009F6B33">
        <w:rPr>
          <w:color w:val="231F20" w:themeColor="background1"/>
        </w:rPr>
        <w:t xml:space="preserve">to starting in post, and about 4 months from point 8 </w:t>
      </w:r>
      <w:r w:rsidR="000A1588" w:rsidRPr="009F6B33">
        <w:rPr>
          <w:color w:val="231F20" w:themeColor="background1"/>
        </w:rPr>
        <w:t>(confirmation with clinical TPD) to starting in post.</w:t>
      </w:r>
    </w:p>
    <w:p w14:paraId="5CE87128" w14:textId="1A19951D" w:rsidR="00813875" w:rsidRPr="009814AE" w:rsidRDefault="00813875" w:rsidP="007D7CED">
      <w:pPr>
        <w:spacing w:after="120" w:line="240" w:lineRule="auto"/>
      </w:pPr>
    </w:p>
    <w:sectPr w:rsidR="00813875" w:rsidRPr="009814AE" w:rsidSect="002B1644">
      <w:headerReference w:type="first" r:id="rId22"/>
      <w:footerReference w:type="first" r:id="rId23"/>
      <w:pgSz w:w="11906" w:h="16838"/>
      <w:pgMar w:top="1418"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2701" w14:textId="77777777" w:rsidR="007001F5" w:rsidRDefault="007001F5" w:rsidP="000C24AF">
      <w:pPr>
        <w:spacing w:after="0"/>
      </w:pPr>
      <w:r>
        <w:separator/>
      </w:r>
    </w:p>
  </w:endnote>
  <w:endnote w:type="continuationSeparator" w:id="0">
    <w:p w14:paraId="1CFFA120" w14:textId="77777777" w:rsidR="007001F5" w:rsidRDefault="007001F5" w:rsidP="000C24AF">
      <w:pPr>
        <w:spacing w:after="0"/>
      </w:pPr>
      <w:r>
        <w:continuationSeparator/>
      </w:r>
    </w:p>
  </w:endnote>
  <w:endnote w:type="continuationNotice" w:id="1">
    <w:p w14:paraId="2A563AE6" w14:textId="77777777" w:rsidR="007001F5" w:rsidRDefault="00700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793C" w14:textId="77777777" w:rsidR="00603A2C" w:rsidRDefault="00603A2C" w:rsidP="00603A2C">
    <w:pPr>
      <w:pStyle w:val="Footer"/>
      <w:pBdr>
        <w:top w:val="single" w:sz="4" w:space="1" w:color="005EB8"/>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56439286" w14:textId="77777777" w:rsidR="008A3E2F" w:rsidRDefault="008A3E2F" w:rsidP="008A3E2F">
        <w:pPr>
          <w:pStyle w:val="Footer"/>
          <w:pBdr>
            <w:top w:val="single" w:sz="4" w:space="1" w:color="005EB8"/>
          </w:pBdr>
        </w:pPr>
      </w:p>
      <w:p w14:paraId="7958F7EB" w14:textId="77777777" w:rsidR="00B72132" w:rsidRPr="008A3E2F" w:rsidRDefault="008A3E2F" w:rsidP="008A3E2F">
        <w:pPr>
          <w:pStyle w:val="Footer"/>
        </w:pPr>
        <w:r>
          <w:rPr>
            <w:szCs w:val="18"/>
          </w:rPr>
          <w:t xml:space="preserve">Copyright </w:t>
        </w:r>
        <w:r w:rsidRPr="008F6069">
          <w:rPr>
            <w:szCs w:val="18"/>
          </w:rPr>
          <w:t>© NHS England 2023</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1D240ABD" w14:textId="77777777" w:rsidR="00603A2C" w:rsidRDefault="00603A2C" w:rsidP="00603A2C">
        <w:pPr>
          <w:pStyle w:val="Footer"/>
          <w:pBdr>
            <w:top w:val="single" w:sz="4" w:space="1" w:color="005EB8"/>
          </w:pBdr>
        </w:pPr>
      </w:p>
      <w:p w14:paraId="0ABCB9D3"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59F9" w14:textId="77777777" w:rsidR="007001F5" w:rsidRDefault="007001F5" w:rsidP="000C24AF">
      <w:pPr>
        <w:spacing w:after="0"/>
      </w:pPr>
      <w:r>
        <w:separator/>
      </w:r>
    </w:p>
  </w:footnote>
  <w:footnote w:type="continuationSeparator" w:id="0">
    <w:p w14:paraId="7BC10F83" w14:textId="77777777" w:rsidR="007001F5" w:rsidRDefault="007001F5" w:rsidP="000C24AF">
      <w:pPr>
        <w:spacing w:after="0"/>
      </w:pPr>
      <w:r>
        <w:continuationSeparator/>
      </w:r>
    </w:p>
  </w:footnote>
  <w:footnote w:type="continuationNotice" w:id="1">
    <w:p w14:paraId="2E1E2954" w14:textId="77777777" w:rsidR="007001F5" w:rsidRDefault="007001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01F8"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3" behindDoc="1" locked="1" layoutInCell="1" allowOverlap="0" wp14:anchorId="326ACC23" wp14:editId="4626335B">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772836192" name="Picture 1772836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27C952D" w14:textId="767C228E" w:rsidR="00F25CC7" w:rsidRPr="00F126B3" w:rsidRDefault="008A6A12" w:rsidP="008A3E2F">
    <w:pPr>
      <w:pStyle w:val="Header"/>
      <w:pBdr>
        <w:bottom w:val="none" w:sz="0" w:space="0" w:color="auto"/>
      </w:pBdr>
    </w:pPr>
    <w:r>
      <w:t>Standard Operating Procedure for</w:t>
    </w:r>
    <w:r w:rsidR="00506FBE">
      <w:t xml:space="preserve"> </w:t>
    </w:r>
    <w:r w:rsidR="00272C1E">
      <w:t>the Appointment</w:t>
    </w:r>
    <w:r w:rsidR="00617D77">
      <w:t xml:space="preserve"> and Management</w:t>
    </w:r>
    <w:r w:rsidR="00272C1E">
      <w:t xml:space="preserve"> of Clinical Academic Trainees</w:t>
    </w:r>
    <w:r w:rsidR="0042053F">
      <w:t xml:space="preserve"> </w:t>
    </w:r>
    <w:r w:rsidR="00617D77">
      <w:t>within</w:t>
    </w:r>
    <w:r w:rsidR="0042053F">
      <w:t xml:space="preserve"> the </w:t>
    </w:r>
    <w:r w:rsidR="00617D77">
      <w:t>STP Dire</w:t>
    </w:r>
    <w:r w:rsidR="001D125D">
      <w:t>ctorate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0E7F41D4" w14:textId="77777777">
      <w:trPr>
        <w:trHeight w:val="642"/>
      </w:trPr>
      <w:tc>
        <w:tcPr>
          <w:tcW w:w="6727" w:type="dxa"/>
        </w:tcPr>
        <w:p w14:paraId="12241D28" w14:textId="038249DD" w:rsidR="00B72132" w:rsidRDefault="00B72132" w:rsidP="00B72132">
          <w:pPr>
            <w:pStyle w:val="Classification"/>
          </w:pPr>
        </w:p>
      </w:tc>
    </w:tr>
  </w:tbl>
  <w:p w14:paraId="430D21A1"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2" behindDoc="1" locked="0" layoutInCell="1" allowOverlap="1" wp14:anchorId="428CFF54" wp14:editId="362C081E">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530753388" name="Picture 1530753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69CFFF7E" w14:textId="77777777" w:rsidR="00B72132" w:rsidRDefault="00B72132" w:rsidP="00B72132">
    <w:pPr>
      <w:pStyle w:val="Header"/>
      <w:pBdr>
        <w:bottom w:val="none" w:sz="0" w:space="0" w:color="auto"/>
      </w:pBdr>
    </w:pPr>
  </w:p>
  <w:p w14:paraId="6B897517" w14:textId="77777777" w:rsidR="00B72132" w:rsidRPr="001D243C" w:rsidRDefault="00B72132" w:rsidP="00B72132">
    <w:pPr>
      <w:pStyle w:val="Header"/>
      <w:pBdr>
        <w:bottom w:val="none" w:sz="0" w:space="0" w:color="auto"/>
      </w:pBdr>
    </w:pPr>
    <w:r w:rsidRPr="00DD3B24">
      <w:rPr>
        <w:noProof/>
      </w:rPr>
      <w:drawing>
        <wp:anchor distT="0" distB="0" distL="114300" distR="114300" simplePos="0" relativeHeight="251658241" behindDoc="1" locked="1" layoutInCell="1" allowOverlap="0" wp14:anchorId="52402F21" wp14:editId="035CE2BA">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860004972" name="Picture 1860004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135DD7EA"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8F53"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0" behindDoc="1" locked="1" layoutInCell="1" allowOverlap="0" wp14:anchorId="1D72B5F7" wp14:editId="54BB87A4">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E543C52" w14:textId="77777777" w:rsidR="00F126B3" w:rsidRPr="009F3A1D" w:rsidRDefault="00952A68" w:rsidP="00F126B3">
    <w:pPr>
      <w:pStyle w:val="Header"/>
      <w:pBdr>
        <w:bottom w:val="single" w:sz="4" w:space="4" w:color="auto"/>
      </w:pBdr>
      <w:rPr>
        <w:sz w:val="24"/>
      </w:rPr>
    </w:pPr>
    <w:sdt>
      <w:sdtPr>
        <w:alias w:val="Title"/>
        <w:tag w:val="title"/>
        <w:id w:val="-644359137"/>
        <w:placeholder>
          <w:docPart w:val="B04F878148274E258DFF639C4832FE2D"/>
        </w:placeholder>
        <w:dataBinding w:prefixMappings="xmlns:ns0='http://purl.org/dc/elements/1.1/' xmlns:ns1='http://schemas.openxmlformats.org/package/2006/metadata/core-properties' " w:xpath="/ns1:coreProperties[1]/ns0:title[1]" w:storeItemID="{6C3C8BC8-F283-45AE-878A-BAB7291924A1}"/>
        <w:text/>
      </w:sdtPr>
      <w:sdtEndPr/>
      <w:sdtContent>
        <w:r w:rsidR="00F126B3">
          <w:t>Title (heading 1)</w:t>
        </w:r>
      </w:sdtContent>
    </w:sdt>
  </w:p>
  <w:p w14:paraId="709ACF1B"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A112B"/>
    <w:multiLevelType w:val="hybridMultilevel"/>
    <w:tmpl w:val="9A78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34EB4"/>
    <w:multiLevelType w:val="hybridMultilevel"/>
    <w:tmpl w:val="4CF2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70B8B"/>
    <w:multiLevelType w:val="multilevel"/>
    <w:tmpl w:val="2A22D250"/>
    <w:name w:val="nhs_headings"/>
    <w:styleLink w:val="NHSHeadings"/>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567" w:firstLine="0"/>
      </w:pPr>
    </w:lvl>
    <w:lvl w:ilvl="2">
      <w:start w:val="1"/>
      <w:numFmt w:val="decimal"/>
      <w:pStyle w:val="NumberedHeading3"/>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3A068F"/>
    <w:multiLevelType w:val="hybridMultilevel"/>
    <w:tmpl w:val="8884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F16E5"/>
    <w:multiLevelType w:val="hybridMultilevel"/>
    <w:tmpl w:val="E9A64282"/>
    <w:lvl w:ilvl="0" w:tplc="ECB68EF2">
      <w:start w:val="1"/>
      <w:numFmt w:val="bullet"/>
      <w:lvlText w:val="•"/>
      <w:lvlJc w:val="left"/>
      <w:pPr>
        <w:tabs>
          <w:tab w:val="num" w:pos="720"/>
        </w:tabs>
        <w:ind w:left="720" w:hanging="360"/>
      </w:pPr>
      <w:rPr>
        <w:rFonts w:ascii="Arial" w:hAnsi="Arial" w:hint="default"/>
      </w:rPr>
    </w:lvl>
    <w:lvl w:ilvl="1" w:tplc="744880FE" w:tentative="1">
      <w:start w:val="1"/>
      <w:numFmt w:val="bullet"/>
      <w:lvlText w:val="•"/>
      <w:lvlJc w:val="left"/>
      <w:pPr>
        <w:tabs>
          <w:tab w:val="num" w:pos="1440"/>
        </w:tabs>
        <w:ind w:left="1440" w:hanging="360"/>
      </w:pPr>
      <w:rPr>
        <w:rFonts w:ascii="Arial" w:hAnsi="Arial" w:hint="default"/>
      </w:rPr>
    </w:lvl>
    <w:lvl w:ilvl="2" w:tplc="1AFA5A02" w:tentative="1">
      <w:start w:val="1"/>
      <w:numFmt w:val="bullet"/>
      <w:lvlText w:val="•"/>
      <w:lvlJc w:val="left"/>
      <w:pPr>
        <w:tabs>
          <w:tab w:val="num" w:pos="2160"/>
        </w:tabs>
        <w:ind w:left="2160" w:hanging="360"/>
      </w:pPr>
      <w:rPr>
        <w:rFonts w:ascii="Arial" w:hAnsi="Arial" w:hint="default"/>
      </w:rPr>
    </w:lvl>
    <w:lvl w:ilvl="3" w:tplc="93360DDE" w:tentative="1">
      <w:start w:val="1"/>
      <w:numFmt w:val="bullet"/>
      <w:lvlText w:val="•"/>
      <w:lvlJc w:val="left"/>
      <w:pPr>
        <w:tabs>
          <w:tab w:val="num" w:pos="2880"/>
        </w:tabs>
        <w:ind w:left="2880" w:hanging="360"/>
      </w:pPr>
      <w:rPr>
        <w:rFonts w:ascii="Arial" w:hAnsi="Arial" w:hint="default"/>
      </w:rPr>
    </w:lvl>
    <w:lvl w:ilvl="4" w:tplc="4F363D22" w:tentative="1">
      <w:start w:val="1"/>
      <w:numFmt w:val="bullet"/>
      <w:lvlText w:val="•"/>
      <w:lvlJc w:val="left"/>
      <w:pPr>
        <w:tabs>
          <w:tab w:val="num" w:pos="3600"/>
        </w:tabs>
        <w:ind w:left="3600" w:hanging="360"/>
      </w:pPr>
      <w:rPr>
        <w:rFonts w:ascii="Arial" w:hAnsi="Arial" w:hint="default"/>
      </w:rPr>
    </w:lvl>
    <w:lvl w:ilvl="5" w:tplc="A7CCD54A" w:tentative="1">
      <w:start w:val="1"/>
      <w:numFmt w:val="bullet"/>
      <w:lvlText w:val="•"/>
      <w:lvlJc w:val="left"/>
      <w:pPr>
        <w:tabs>
          <w:tab w:val="num" w:pos="4320"/>
        </w:tabs>
        <w:ind w:left="4320" w:hanging="360"/>
      </w:pPr>
      <w:rPr>
        <w:rFonts w:ascii="Arial" w:hAnsi="Arial" w:hint="default"/>
      </w:rPr>
    </w:lvl>
    <w:lvl w:ilvl="6" w:tplc="F6AA7DAE" w:tentative="1">
      <w:start w:val="1"/>
      <w:numFmt w:val="bullet"/>
      <w:lvlText w:val="•"/>
      <w:lvlJc w:val="left"/>
      <w:pPr>
        <w:tabs>
          <w:tab w:val="num" w:pos="5040"/>
        </w:tabs>
        <w:ind w:left="5040" w:hanging="360"/>
      </w:pPr>
      <w:rPr>
        <w:rFonts w:ascii="Arial" w:hAnsi="Arial" w:hint="default"/>
      </w:rPr>
    </w:lvl>
    <w:lvl w:ilvl="7" w:tplc="F858DD4E" w:tentative="1">
      <w:start w:val="1"/>
      <w:numFmt w:val="bullet"/>
      <w:lvlText w:val="•"/>
      <w:lvlJc w:val="left"/>
      <w:pPr>
        <w:tabs>
          <w:tab w:val="num" w:pos="5760"/>
        </w:tabs>
        <w:ind w:left="5760" w:hanging="360"/>
      </w:pPr>
      <w:rPr>
        <w:rFonts w:ascii="Arial" w:hAnsi="Arial" w:hint="default"/>
      </w:rPr>
    </w:lvl>
    <w:lvl w:ilvl="8" w:tplc="878A32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D716F1"/>
    <w:multiLevelType w:val="hybridMultilevel"/>
    <w:tmpl w:val="8D3C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E3756B"/>
    <w:multiLevelType w:val="hybridMultilevel"/>
    <w:tmpl w:val="D97037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124CE4"/>
    <w:multiLevelType w:val="hybridMultilevel"/>
    <w:tmpl w:val="0B70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5B300E"/>
    <w:multiLevelType w:val="hybridMultilevel"/>
    <w:tmpl w:val="57AE2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125D6"/>
    <w:multiLevelType w:val="hybridMultilevel"/>
    <w:tmpl w:val="6D0C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15A4B"/>
    <w:multiLevelType w:val="hybridMultilevel"/>
    <w:tmpl w:val="64EE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C48CC"/>
    <w:multiLevelType w:val="hybridMultilevel"/>
    <w:tmpl w:val="DDD6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21ED9"/>
    <w:multiLevelType w:val="hybridMultilevel"/>
    <w:tmpl w:val="2BFCED6E"/>
    <w:lvl w:ilvl="0" w:tplc="43F6888A">
      <w:start w:val="2"/>
      <w:numFmt w:val="decimal"/>
      <w:lvlText w:val="%1."/>
      <w:lvlJc w:val="left"/>
      <w:pPr>
        <w:tabs>
          <w:tab w:val="num" w:pos="720"/>
        </w:tabs>
        <w:ind w:left="720" w:hanging="360"/>
      </w:pPr>
    </w:lvl>
    <w:lvl w:ilvl="1" w:tplc="88689F88" w:tentative="1">
      <w:start w:val="1"/>
      <w:numFmt w:val="decimal"/>
      <w:lvlText w:val="%2."/>
      <w:lvlJc w:val="left"/>
      <w:pPr>
        <w:tabs>
          <w:tab w:val="num" w:pos="1440"/>
        </w:tabs>
        <w:ind w:left="1440" w:hanging="360"/>
      </w:pPr>
    </w:lvl>
    <w:lvl w:ilvl="2" w:tplc="903A9088" w:tentative="1">
      <w:start w:val="1"/>
      <w:numFmt w:val="decimal"/>
      <w:lvlText w:val="%3."/>
      <w:lvlJc w:val="left"/>
      <w:pPr>
        <w:tabs>
          <w:tab w:val="num" w:pos="2160"/>
        </w:tabs>
        <w:ind w:left="2160" w:hanging="360"/>
      </w:pPr>
    </w:lvl>
    <w:lvl w:ilvl="3" w:tplc="5D2CE636" w:tentative="1">
      <w:start w:val="1"/>
      <w:numFmt w:val="decimal"/>
      <w:lvlText w:val="%4."/>
      <w:lvlJc w:val="left"/>
      <w:pPr>
        <w:tabs>
          <w:tab w:val="num" w:pos="2880"/>
        </w:tabs>
        <w:ind w:left="2880" w:hanging="360"/>
      </w:pPr>
    </w:lvl>
    <w:lvl w:ilvl="4" w:tplc="3B08F1F2" w:tentative="1">
      <w:start w:val="1"/>
      <w:numFmt w:val="decimal"/>
      <w:lvlText w:val="%5."/>
      <w:lvlJc w:val="left"/>
      <w:pPr>
        <w:tabs>
          <w:tab w:val="num" w:pos="3600"/>
        </w:tabs>
        <w:ind w:left="3600" w:hanging="360"/>
      </w:pPr>
    </w:lvl>
    <w:lvl w:ilvl="5" w:tplc="67CA16EC" w:tentative="1">
      <w:start w:val="1"/>
      <w:numFmt w:val="decimal"/>
      <w:lvlText w:val="%6."/>
      <w:lvlJc w:val="left"/>
      <w:pPr>
        <w:tabs>
          <w:tab w:val="num" w:pos="4320"/>
        </w:tabs>
        <w:ind w:left="4320" w:hanging="360"/>
      </w:pPr>
    </w:lvl>
    <w:lvl w:ilvl="6" w:tplc="CAF81AEC" w:tentative="1">
      <w:start w:val="1"/>
      <w:numFmt w:val="decimal"/>
      <w:lvlText w:val="%7."/>
      <w:lvlJc w:val="left"/>
      <w:pPr>
        <w:tabs>
          <w:tab w:val="num" w:pos="5040"/>
        </w:tabs>
        <w:ind w:left="5040" w:hanging="360"/>
      </w:pPr>
    </w:lvl>
    <w:lvl w:ilvl="7" w:tplc="557A815C" w:tentative="1">
      <w:start w:val="1"/>
      <w:numFmt w:val="decimal"/>
      <w:lvlText w:val="%8."/>
      <w:lvlJc w:val="left"/>
      <w:pPr>
        <w:tabs>
          <w:tab w:val="num" w:pos="5760"/>
        </w:tabs>
        <w:ind w:left="5760" w:hanging="360"/>
      </w:pPr>
    </w:lvl>
    <w:lvl w:ilvl="8" w:tplc="4A145E4E" w:tentative="1">
      <w:start w:val="1"/>
      <w:numFmt w:val="decimal"/>
      <w:lvlText w:val="%9."/>
      <w:lvlJc w:val="left"/>
      <w:pPr>
        <w:tabs>
          <w:tab w:val="num" w:pos="6480"/>
        </w:tabs>
        <w:ind w:left="6480" w:hanging="360"/>
      </w:pPr>
    </w:lvl>
  </w:abstractNum>
  <w:abstractNum w:abstractNumId="16" w15:restartNumberingAfterBreak="0">
    <w:nsid w:val="65BE6CD9"/>
    <w:multiLevelType w:val="hybridMultilevel"/>
    <w:tmpl w:val="1A64CF60"/>
    <w:lvl w:ilvl="0" w:tplc="43687990">
      <w:start w:val="1"/>
      <w:numFmt w:val="decimal"/>
      <w:lvlText w:val="%1."/>
      <w:lvlJc w:val="left"/>
      <w:pPr>
        <w:tabs>
          <w:tab w:val="num" w:pos="720"/>
        </w:tabs>
        <w:ind w:left="720" w:hanging="360"/>
      </w:pPr>
    </w:lvl>
    <w:lvl w:ilvl="1" w:tplc="0BF063C8" w:tentative="1">
      <w:start w:val="1"/>
      <w:numFmt w:val="decimal"/>
      <w:lvlText w:val="%2."/>
      <w:lvlJc w:val="left"/>
      <w:pPr>
        <w:tabs>
          <w:tab w:val="num" w:pos="1440"/>
        </w:tabs>
        <w:ind w:left="1440" w:hanging="360"/>
      </w:pPr>
    </w:lvl>
    <w:lvl w:ilvl="2" w:tplc="54F6FBAC" w:tentative="1">
      <w:start w:val="1"/>
      <w:numFmt w:val="decimal"/>
      <w:lvlText w:val="%3."/>
      <w:lvlJc w:val="left"/>
      <w:pPr>
        <w:tabs>
          <w:tab w:val="num" w:pos="2160"/>
        </w:tabs>
        <w:ind w:left="2160" w:hanging="360"/>
      </w:pPr>
    </w:lvl>
    <w:lvl w:ilvl="3" w:tplc="79D6622C" w:tentative="1">
      <w:start w:val="1"/>
      <w:numFmt w:val="decimal"/>
      <w:lvlText w:val="%4."/>
      <w:lvlJc w:val="left"/>
      <w:pPr>
        <w:tabs>
          <w:tab w:val="num" w:pos="2880"/>
        </w:tabs>
        <w:ind w:left="2880" w:hanging="360"/>
      </w:pPr>
    </w:lvl>
    <w:lvl w:ilvl="4" w:tplc="BADC0888" w:tentative="1">
      <w:start w:val="1"/>
      <w:numFmt w:val="decimal"/>
      <w:lvlText w:val="%5."/>
      <w:lvlJc w:val="left"/>
      <w:pPr>
        <w:tabs>
          <w:tab w:val="num" w:pos="3600"/>
        </w:tabs>
        <w:ind w:left="3600" w:hanging="360"/>
      </w:pPr>
    </w:lvl>
    <w:lvl w:ilvl="5" w:tplc="B428F5E8" w:tentative="1">
      <w:start w:val="1"/>
      <w:numFmt w:val="decimal"/>
      <w:lvlText w:val="%6."/>
      <w:lvlJc w:val="left"/>
      <w:pPr>
        <w:tabs>
          <w:tab w:val="num" w:pos="4320"/>
        </w:tabs>
        <w:ind w:left="4320" w:hanging="360"/>
      </w:pPr>
    </w:lvl>
    <w:lvl w:ilvl="6" w:tplc="6754865C" w:tentative="1">
      <w:start w:val="1"/>
      <w:numFmt w:val="decimal"/>
      <w:lvlText w:val="%7."/>
      <w:lvlJc w:val="left"/>
      <w:pPr>
        <w:tabs>
          <w:tab w:val="num" w:pos="5040"/>
        </w:tabs>
        <w:ind w:left="5040" w:hanging="360"/>
      </w:pPr>
    </w:lvl>
    <w:lvl w:ilvl="7" w:tplc="F1C6F6DC" w:tentative="1">
      <w:start w:val="1"/>
      <w:numFmt w:val="decimal"/>
      <w:lvlText w:val="%8."/>
      <w:lvlJc w:val="left"/>
      <w:pPr>
        <w:tabs>
          <w:tab w:val="num" w:pos="5760"/>
        </w:tabs>
        <w:ind w:left="5760" w:hanging="360"/>
      </w:pPr>
    </w:lvl>
    <w:lvl w:ilvl="8" w:tplc="1CCC3D3A" w:tentative="1">
      <w:start w:val="1"/>
      <w:numFmt w:val="decimal"/>
      <w:lvlText w:val="%9."/>
      <w:lvlJc w:val="left"/>
      <w:pPr>
        <w:tabs>
          <w:tab w:val="num" w:pos="6480"/>
        </w:tabs>
        <w:ind w:left="6480" w:hanging="360"/>
      </w:pPr>
    </w:lvl>
  </w:abstractNum>
  <w:abstractNum w:abstractNumId="17" w15:restartNumberingAfterBreak="0">
    <w:nsid w:val="67486F50"/>
    <w:multiLevelType w:val="hybridMultilevel"/>
    <w:tmpl w:val="306E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50655"/>
    <w:multiLevelType w:val="hybridMultilevel"/>
    <w:tmpl w:val="0FF0B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33B9C"/>
    <w:multiLevelType w:val="hybridMultilevel"/>
    <w:tmpl w:val="B6D0BA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BB12B18"/>
    <w:multiLevelType w:val="hybridMultilevel"/>
    <w:tmpl w:val="E59C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A3EAD"/>
    <w:multiLevelType w:val="multilevel"/>
    <w:tmpl w:val="96360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070A74"/>
    <w:multiLevelType w:val="hybridMultilevel"/>
    <w:tmpl w:val="911C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6B7877"/>
    <w:multiLevelType w:val="hybridMultilevel"/>
    <w:tmpl w:val="70BA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53C6E"/>
    <w:multiLevelType w:val="hybridMultilevel"/>
    <w:tmpl w:val="2D84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272004">
    <w:abstractNumId w:val="21"/>
  </w:num>
  <w:num w:numId="2" w16cid:durableId="1349795252">
    <w:abstractNumId w:val="0"/>
  </w:num>
  <w:num w:numId="3" w16cid:durableId="1394693074">
    <w:abstractNumId w:val="10"/>
  </w:num>
  <w:num w:numId="4" w16cid:durableId="570964709">
    <w:abstractNumId w:val="7"/>
  </w:num>
  <w:num w:numId="5" w16cid:durableId="1006251369">
    <w:abstractNumId w:val="3"/>
  </w:num>
  <w:num w:numId="6" w16cid:durableId="983393086">
    <w:abstractNumId w:val="1"/>
  </w:num>
  <w:num w:numId="7" w16cid:durableId="1295335666">
    <w:abstractNumId w:val="12"/>
  </w:num>
  <w:num w:numId="8" w16cid:durableId="1127553842">
    <w:abstractNumId w:val="23"/>
  </w:num>
  <w:num w:numId="9" w16cid:durableId="1612007904">
    <w:abstractNumId w:val="14"/>
  </w:num>
  <w:num w:numId="10" w16cid:durableId="1049571627">
    <w:abstractNumId w:val="22"/>
  </w:num>
  <w:num w:numId="11" w16cid:durableId="1465347449">
    <w:abstractNumId w:val="2"/>
  </w:num>
  <w:num w:numId="12" w16cid:durableId="144711987">
    <w:abstractNumId w:val="20"/>
  </w:num>
  <w:num w:numId="13" w16cid:durableId="1176073404">
    <w:abstractNumId w:val="9"/>
  </w:num>
  <w:num w:numId="14" w16cid:durableId="442573087">
    <w:abstractNumId w:val="18"/>
  </w:num>
  <w:num w:numId="15" w16cid:durableId="975837513">
    <w:abstractNumId w:val="11"/>
  </w:num>
  <w:num w:numId="16" w16cid:durableId="726297249">
    <w:abstractNumId w:val="24"/>
  </w:num>
  <w:num w:numId="17" w16cid:durableId="333341634">
    <w:abstractNumId w:val="13"/>
  </w:num>
  <w:num w:numId="18" w16cid:durableId="1353070773">
    <w:abstractNumId w:val="6"/>
  </w:num>
  <w:num w:numId="19" w16cid:durableId="135294539">
    <w:abstractNumId w:val="4"/>
  </w:num>
  <w:num w:numId="20" w16cid:durableId="607275044">
    <w:abstractNumId w:val="5"/>
  </w:num>
  <w:num w:numId="21" w16cid:durableId="651372403">
    <w:abstractNumId w:val="16"/>
  </w:num>
  <w:num w:numId="22" w16cid:durableId="432364004">
    <w:abstractNumId w:val="15"/>
  </w:num>
  <w:num w:numId="23" w16cid:durableId="286090100">
    <w:abstractNumId w:val="8"/>
  </w:num>
  <w:num w:numId="24" w16cid:durableId="1926844029">
    <w:abstractNumId w:val="17"/>
  </w:num>
  <w:num w:numId="25" w16cid:durableId="1066682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13"/>
    <w:rsid w:val="00000197"/>
    <w:rsid w:val="000005C7"/>
    <w:rsid w:val="00003EE8"/>
    <w:rsid w:val="0000416F"/>
    <w:rsid w:val="00006985"/>
    <w:rsid w:val="00006FF3"/>
    <w:rsid w:val="000108B8"/>
    <w:rsid w:val="0001164C"/>
    <w:rsid w:val="00014C1E"/>
    <w:rsid w:val="000177C0"/>
    <w:rsid w:val="00022EE3"/>
    <w:rsid w:val="000271F6"/>
    <w:rsid w:val="00031311"/>
    <w:rsid w:val="000317EF"/>
    <w:rsid w:val="0003185C"/>
    <w:rsid w:val="00031FD0"/>
    <w:rsid w:val="00034E22"/>
    <w:rsid w:val="00045EE5"/>
    <w:rsid w:val="00055630"/>
    <w:rsid w:val="000602FE"/>
    <w:rsid w:val="00061452"/>
    <w:rsid w:val="000627D2"/>
    <w:rsid w:val="000733A2"/>
    <w:rsid w:val="00080CAF"/>
    <w:rsid w:val="0008151B"/>
    <w:rsid w:val="0008313C"/>
    <w:rsid w:val="00083FBD"/>
    <w:rsid w:val="00085E49"/>
    <w:rsid w:val="000863E2"/>
    <w:rsid w:val="00087403"/>
    <w:rsid w:val="000935A1"/>
    <w:rsid w:val="00094188"/>
    <w:rsid w:val="00095621"/>
    <w:rsid w:val="000A1588"/>
    <w:rsid w:val="000A1BE2"/>
    <w:rsid w:val="000A266D"/>
    <w:rsid w:val="000A56C6"/>
    <w:rsid w:val="000A5EF1"/>
    <w:rsid w:val="000A64E4"/>
    <w:rsid w:val="000A7E48"/>
    <w:rsid w:val="000B0ED6"/>
    <w:rsid w:val="000C2447"/>
    <w:rsid w:val="000C24AF"/>
    <w:rsid w:val="000C2EAE"/>
    <w:rsid w:val="000C2F8F"/>
    <w:rsid w:val="000D1B71"/>
    <w:rsid w:val="000D39C3"/>
    <w:rsid w:val="000D4C24"/>
    <w:rsid w:val="000E1BCD"/>
    <w:rsid w:val="000E267A"/>
    <w:rsid w:val="000E2EBE"/>
    <w:rsid w:val="000F09E0"/>
    <w:rsid w:val="000F4B5F"/>
    <w:rsid w:val="000F5AE1"/>
    <w:rsid w:val="000F5F46"/>
    <w:rsid w:val="00101883"/>
    <w:rsid w:val="0010192E"/>
    <w:rsid w:val="00103F4D"/>
    <w:rsid w:val="00103F63"/>
    <w:rsid w:val="0010592F"/>
    <w:rsid w:val="0011000F"/>
    <w:rsid w:val="00110382"/>
    <w:rsid w:val="00110913"/>
    <w:rsid w:val="001124EC"/>
    <w:rsid w:val="00113B61"/>
    <w:rsid w:val="00113EEC"/>
    <w:rsid w:val="0011562C"/>
    <w:rsid w:val="00121A3A"/>
    <w:rsid w:val="001222E3"/>
    <w:rsid w:val="001266D4"/>
    <w:rsid w:val="00127C11"/>
    <w:rsid w:val="00133B66"/>
    <w:rsid w:val="00137047"/>
    <w:rsid w:val="0014559A"/>
    <w:rsid w:val="00151772"/>
    <w:rsid w:val="0015698B"/>
    <w:rsid w:val="00157449"/>
    <w:rsid w:val="00160612"/>
    <w:rsid w:val="00160746"/>
    <w:rsid w:val="00163EF8"/>
    <w:rsid w:val="0017018D"/>
    <w:rsid w:val="0017149C"/>
    <w:rsid w:val="00171653"/>
    <w:rsid w:val="001716E5"/>
    <w:rsid w:val="00171981"/>
    <w:rsid w:val="0017291E"/>
    <w:rsid w:val="00176644"/>
    <w:rsid w:val="001768B0"/>
    <w:rsid w:val="0017692B"/>
    <w:rsid w:val="001777C2"/>
    <w:rsid w:val="001823A9"/>
    <w:rsid w:val="001844E5"/>
    <w:rsid w:val="00186788"/>
    <w:rsid w:val="00192EB3"/>
    <w:rsid w:val="0019499A"/>
    <w:rsid w:val="0019592C"/>
    <w:rsid w:val="001A2FAE"/>
    <w:rsid w:val="001A480A"/>
    <w:rsid w:val="001A6132"/>
    <w:rsid w:val="001A71D7"/>
    <w:rsid w:val="001B1735"/>
    <w:rsid w:val="001B69CD"/>
    <w:rsid w:val="001B708C"/>
    <w:rsid w:val="001C3565"/>
    <w:rsid w:val="001C39EE"/>
    <w:rsid w:val="001C5FED"/>
    <w:rsid w:val="001C6937"/>
    <w:rsid w:val="001D02BC"/>
    <w:rsid w:val="001D0EC4"/>
    <w:rsid w:val="001D125D"/>
    <w:rsid w:val="001D243C"/>
    <w:rsid w:val="001D64CF"/>
    <w:rsid w:val="001E004E"/>
    <w:rsid w:val="001E27F8"/>
    <w:rsid w:val="001F3126"/>
    <w:rsid w:val="001F4117"/>
    <w:rsid w:val="001F78CA"/>
    <w:rsid w:val="00201D09"/>
    <w:rsid w:val="00206BDC"/>
    <w:rsid w:val="00212395"/>
    <w:rsid w:val="00212557"/>
    <w:rsid w:val="00215C87"/>
    <w:rsid w:val="0022036F"/>
    <w:rsid w:val="0022134A"/>
    <w:rsid w:val="0022596F"/>
    <w:rsid w:val="002313D4"/>
    <w:rsid w:val="0023364F"/>
    <w:rsid w:val="002365A0"/>
    <w:rsid w:val="00236B50"/>
    <w:rsid w:val="00240184"/>
    <w:rsid w:val="00240B6E"/>
    <w:rsid w:val="0024478E"/>
    <w:rsid w:val="00245F54"/>
    <w:rsid w:val="00245FE3"/>
    <w:rsid w:val="00246075"/>
    <w:rsid w:val="002463AF"/>
    <w:rsid w:val="00251248"/>
    <w:rsid w:val="00251B94"/>
    <w:rsid w:val="00252944"/>
    <w:rsid w:val="00256FD7"/>
    <w:rsid w:val="00265288"/>
    <w:rsid w:val="002704D2"/>
    <w:rsid w:val="00270DAD"/>
    <w:rsid w:val="00271EEC"/>
    <w:rsid w:val="00272C1E"/>
    <w:rsid w:val="00275FE2"/>
    <w:rsid w:val="00281B53"/>
    <w:rsid w:val="002841A5"/>
    <w:rsid w:val="002850C2"/>
    <w:rsid w:val="002855F7"/>
    <w:rsid w:val="00287996"/>
    <w:rsid w:val="002908FD"/>
    <w:rsid w:val="002941C3"/>
    <w:rsid w:val="00294488"/>
    <w:rsid w:val="00295AAE"/>
    <w:rsid w:val="002A3F48"/>
    <w:rsid w:val="002A45CD"/>
    <w:rsid w:val="002A4D96"/>
    <w:rsid w:val="002A7E93"/>
    <w:rsid w:val="002B1644"/>
    <w:rsid w:val="002B24BD"/>
    <w:rsid w:val="002B3BFD"/>
    <w:rsid w:val="002B609D"/>
    <w:rsid w:val="002B64EA"/>
    <w:rsid w:val="002B7AFB"/>
    <w:rsid w:val="002C0816"/>
    <w:rsid w:val="002C2415"/>
    <w:rsid w:val="002C3FCF"/>
    <w:rsid w:val="002C4CB7"/>
    <w:rsid w:val="002D26DD"/>
    <w:rsid w:val="002D546B"/>
    <w:rsid w:val="002E44DD"/>
    <w:rsid w:val="002F11E7"/>
    <w:rsid w:val="002F45CE"/>
    <w:rsid w:val="002F7909"/>
    <w:rsid w:val="002F7B8F"/>
    <w:rsid w:val="00302F69"/>
    <w:rsid w:val="0031449E"/>
    <w:rsid w:val="00332B19"/>
    <w:rsid w:val="0033715E"/>
    <w:rsid w:val="0033776C"/>
    <w:rsid w:val="00341F8F"/>
    <w:rsid w:val="0034439B"/>
    <w:rsid w:val="003444C7"/>
    <w:rsid w:val="0034560E"/>
    <w:rsid w:val="003475F5"/>
    <w:rsid w:val="00350107"/>
    <w:rsid w:val="0035386A"/>
    <w:rsid w:val="0035464A"/>
    <w:rsid w:val="003576D6"/>
    <w:rsid w:val="00362537"/>
    <w:rsid w:val="003665C3"/>
    <w:rsid w:val="0037142F"/>
    <w:rsid w:val="00372CE1"/>
    <w:rsid w:val="003749FB"/>
    <w:rsid w:val="0037674E"/>
    <w:rsid w:val="00377C52"/>
    <w:rsid w:val="00382402"/>
    <w:rsid w:val="003838B7"/>
    <w:rsid w:val="00383901"/>
    <w:rsid w:val="00384A73"/>
    <w:rsid w:val="00384FDB"/>
    <w:rsid w:val="00386F7F"/>
    <w:rsid w:val="00390314"/>
    <w:rsid w:val="003904D9"/>
    <w:rsid w:val="00396B3D"/>
    <w:rsid w:val="003A1E13"/>
    <w:rsid w:val="003A4B22"/>
    <w:rsid w:val="003B2686"/>
    <w:rsid w:val="003B5158"/>
    <w:rsid w:val="003B6BB4"/>
    <w:rsid w:val="003B714B"/>
    <w:rsid w:val="003C61CD"/>
    <w:rsid w:val="003C7827"/>
    <w:rsid w:val="003D3A42"/>
    <w:rsid w:val="003D5D0E"/>
    <w:rsid w:val="003E4989"/>
    <w:rsid w:val="003E57B6"/>
    <w:rsid w:val="003F0070"/>
    <w:rsid w:val="003F4223"/>
    <w:rsid w:val="003F4B69"/>
    <w:rsid w:val="003F677D"/>
    <w:rsid w:val="003F7B0C"/>
    <w:rsid w:val="00411503"/>
    <w:rsid w:val="00411D1D"/>
    <w:rsid w:val="0041475E"/>
    <w:rsid w:val="0041589A"/>
    <w:rsid w:val="004174F2"/>
    <w:rsid w:val="004203C5"/>
    <w:rsid w:val="0042053F"/>
    <w:rsid w:val="00420E7F"/>
    <w:rsid w:val="00423FAF"/>
    <w:rsid w:val="00427636"/>
    <w:rsid w:val="00430131"/>
    <w:rsid w:val="0043255E"/>
    <w:rsid w:val="00433962"/>
    <w:rsid w:val="00435FAD"/>
    <w:rsid w:val="00441B14"/>
    <w:rsid w:val="00443088"/>
    <w:rsid w:val="00447E51"/>
    <w:rsid w:val="004508FC"/>
    <w:rsid w:val="00455A3F"/>
    <w:rsid w:val="00455DD8"/>
    <w:rsid w:val="00457741"/>
    <w:rsid w:val="00460517"/>
    <w:rsid w:val="00463509"/>
    <w:rsid w:val="00465B5B"/>
    <w:rsid w:val="0047077E"/>
    <w:rsid w:val="004729F8"/>
    <w:rsid w:val="00472D33"/>
    <w:rsid w:val="00480037"/>
    <w:rsid w:val="004820FE"/>
    <w:rsid w:val="004827FB"/>
    <w:rsid w:val="004865C1"/>
    <w:rsid w:val="00491977"/>
    <w:rsid w:val="004935C6"/>
    <w:rsid w:val="00497DE0"/>
    <w:rsid w:val="004A1C91"/>
    <w:rsid w:val="004A6630"/>
    <w:rsid w:val="004B025F"/>
    <w:rsid w:val="004B0B5E"/>
    <w:rsid w:val="004B5EC4"/>
    <w:rsid w:val="004C75CC"/>
    <w:rsid w:val="004D1A10"/>
    <w:rsid w:val="004D265A"/>
    <w:rsid w:val="004D763F"/>
    <w:rsid w:val="004E08DF"/>
    <w:rsid w:val="004E09DD"/>
    <w:rsid w:val="004E38CD"/>
    <w:rsid w:val="004F0A67"/>
    <w:rsid w:val="004F1337"/>
    <w:rsid w:val="004F28CE"/>
    <w:rsid w:val="004F4CA8"/>
    <w:rsid w:val="004F4CB4"/>
    <w:rsid w:val="004F6303"/>
    <w:rsid w:val="004F6FED"/>
    <w:rsid w:val="00500C28"/>
    <w:rsid w:val="00500D5E"/>
    <w:rsid w:val="005014AF"/>
    <w:rsid w:val="00504E97"/>
    <w:rsid w:val="00506E57"/>
    <w:rsid w:val="00506EF8"/>
    <w:rsid w:val="00506FBE"/>
    <w:rsid w:val="00515BDD"/>
    <w:rsid w:val="00520322"/>
    <w:rsid w:val="00520410"/>
    <w:rsid w:val="0052302B"/>
    <w:rsid w:val="005251AB"/>
    <w:rsid w:val="0052756A"/>
    <w:rsid w:val="00527C0D"/>
    <w:rsid w:val="00532E95"/>
    <w:rsid w:val="00534180"/>
    <w:rsid w:val="00537242"/>
    <w:rsid w:val="00541713"/>
    <w:rsid w:val="00544C0C"/>
    <w:rsid w:val="0054593A"/>
    <w:rsid w:val="0054789F"/>
    <w:rsid w:val="00550CE1"/>
    <w:rsid w:val="005634F0"/>
    <w:rsid w:val="00563E8C"/>
    <w:rsid w:val="00571C4E"/>
    <w:rsid w:val="00577A42"/>
    <w:rsid w:val="0058121B"/>
    <w:rsid w:val="00581CAB"/>
    <w:rsid w:val="00584D6A"/>
    <w:rsid w:val="00590D21"/>
    <w:rsid w:val="00594238"/>
    <w:rsid w:val="005A0CB6"/>
    <w:rsid w:val="005A3B89"/>
    <w:rsid w:val="005B2AEC"/>
    <w:rsid w:val="005C068C"/>
    <w:rsid w:val="005C1C3C"/>
    <w:rsid w:val="005C2644"/>
    <w:rsid w:val="005C2A58"/>
    <w:rsid w:val="005C3745"/>
    <w:rsid w:val="005C7B44"/>
    <w:rsid w:val="005D01AB"/>
    <w:rsid w:val="005D4E5A"/>
    <w:rsid w:val="005D58E9"/>
    <w:rsid w:val="005D61B4"/>
    <w:rsid w:val="005E044E"/>
    <w:rsid w:val="005E23B4"/>
    <w:rsid w:val="005E7BAD"/>
    <w:rsid w:val="005F0359"/>
    <w:rsid w:val="005F7F2C"/>
    <w:rsid w:val="00601DBA"/>
    <w:rsid w:val="00602057"/>
    <w:rsid w:val="00603A2C"/>
    <w:rsid w:val="00604FD7"/>
    <w:rsid w:val="006059CC"/>
    <w:rsid w:val="006061A7"/>
    <w:rsid w:val="00613251"/>
    <w:rsid w:val="00614F79"/>
    <w:rsid w:val="00616632"/>
    <w:rsid w:val="00617057"/>
    <w:rsid w:val="00617D77"/>
    <w:rsid w:val="00626C20"/>
    <w:rsid w:val="0063502E"/>
    <w:rsid w:val="00635D8D"/>
    <w:rsid w:val="00635E2E"/>
    <w:rsid w:val="00640257"/>
    <w:rsid w:val="006409AE"/>
    <w:rsid w:val="00643565"/>
    <w:rsid w:val="00643949"/>
    <w:rsid w:val="006449C8"/>
    <w:rsid w:val="00651581"/>
    <w:rsid w:val="00651995"/>
    <w:rsid w:val="00654B84"/>
    <w:rsid w:val="00654EE0"/>
    <w:rsid w:val="00655FCD"/>
    <w:rsid w:val="00661D2F"/>
    <w:rsid w:val="006659ED"/>
    <w:rsid w:val="006679DE"/>
    <w:rsid w:val="0067164E"/>
    <w:rsid w:val="00671B7A"/>
    <w:rsid w:val="00672717"/>
    <w:rsid w:val="00673BC5"/>
    <w:rsid w:val="0067456A"/>
    <w:rsid w:val="00675E35"/>
    <w:rsid w:val="00682CF7"/>
    <w:rsid w:val="00684633"/>
    <w:rsid w:val="00691F5A"/>
    <w:rsid w:val="00692041"/>
    <w:rsid w:val="00694939"/>
    <w:rsid w:val="00694FC4"/>
    <w:rsid w:val="006951AE"/>
    <w:rsid w:val="006A0777"/>
    <w:rsid w:val="006A42CF"/>
    <w:rsid w:val="006A4DC7"/>
    <w:rsid w:val="006A6095"/>
    <w:rsid w:val="006B2060"/>
    <w:rsid w:val="006D02E8"/>
    <w:rsid w:val="006D0AA4"/>
    <w:rsid w:val="006D4233"/>
    <w:rsid w:val="006E2FE7"/>
    <w:rsid w:val="006E44AC"/>
    <w:rsid w:val="006E461F"/>
    <w:rsid w:val="006E4817"/>
    <w:rsid w:val="006E7A00"/>
    <w:rsid w:val="006E7F3A"/>
    <w:rsid w:val="006F00D0"/>
    <w:rsid w:val="006F0AFF"/>
    <w:rsid w:val="006F37F0"/>
    <w:rsid w:val="006F4443"/>
    <w:rsid w:val="007001F5"/>
    <w:rsid w:val="00702B4D"/>
    <w:rsid w:val="00705881"/>
    <w:rsid w:val="00710647"/>
    <w:rsid w:val="00710E40"/>
    <w:rsid w:val="0071497F"/>
    <w:rsid w:val="0072174A"/>
    <w:rsid w:val="00723A85"/>
    <w:rsid w:val="007278F4"/>
    <w:rsid w:val="00732EF0"/>
    <w:rsid w:val="00733414"/>
    <w:rsid w:val="00734093"/>
    <w:rsid w:val="0073429A"/>
    <w:rsid w:val="00736810"/>
    <w:rsid w:val="007375BC"/>
    <w:rsid w:val="00740573"/>
    <w:rsid w:val="00744E0D"/>
    <w:rsid w:val="00752DCF"/>
    <w:rsid w:val="00753953"/>
    <w:rsid w:val="00756DB1"/>
    <w:rsid w:val="00760840"/>
    <w:rsid w:val="00761E45"/>
    <w:rsid w:val="00763FA3"/>
    <w:rsid w:val="007663CB"/>
    <w:rsid w:val="00767D5F"/>
    <w:rsid w:val="00770840"/>
    <w:rsid w:val="0077124D"/>
    <w:rsid w:val="007715F3"/>
    <w:rsid w:val="00775600"/>
    <w:rsid w:val="007867F8"/>
    <w:rsid w:val="0078748C"/>
    <w:rsid w:val="00787696"/>
    <w:rsid w:val="00796E96"/>
    <w:rsid w:val="007A1D0E"/>
    <w:rsid w:val="007A64C5"/>
    <w:rsid w:val="007A66A9"/>
    <w:rsid w:val="007B1884"/>
    <w:rsid w:val="007B2264"/>
    <w:rsid w:val="007B4753"/>
    <w:rsid w:val="007B62EE"/>
    <w:rsid w:val="007D14A8"/>
    <w:rsid w:val="007D1E52"/>
    <w:rsid w:val="007D5B87"/>
    <w:rsid w:val="007D7CED"/>
    <w:rsid w:val="007E4138"/>
    <w:rsid w:val="007E52A9"/>
    <w:rsid w:val="007E6938"/>
    <w:rsid w:val="007F5954"/>
    <w:rsid w:val="007F7028"/>
    <w:rsid w:val="00801629"/>
    <w:rsid w:val="008110FC"/>
    <w:rsid w:val="00811505"/>
    <w:rsid w:val="00811876"/>
    <w:rsid w:val="00813875"/>
    <w:rsid w:val="0081544B"/>
    <w:rsid w:val="00821451"/>
    <w:rsid w:val="00827B93"/>
    <w:rsid w:val="008336F0"/>
    <w:rsid w:val="00836FCA"/>
    <w:rsid w:val="00841B4D"/>
    <w:rsid w:val="00842D21"/>
    <w:rsid w:val="00845ECF"/>
    <w:rsid w:val="00846BB9"/>
    <w:rsid w:val="008473BF"/>
    <w:rsid w:val="00853A57"/>
    <w:rsid w:val="00855D19"/>
    <w:rsid w:val="00856061"/>
    <w:rsid w:val="00856E63"/>
    <w:rsid w:val="00861921"/>
    <w:rsid w:val="00861978"/>
    <w:rsid w:val="008625E8"/>
    <w:rsid w:val="00864885"/>
    <w:rsid w:val="00865995"/>
    <w:rsid w:val="00867EAF"/>
    <w:rsid w:val="0087019F"/>
    <w:rsid w:val="008744B1"/>
    <w:rsid w:val="00875F01"/>
    <w:rsid w:val="00880D4A"/>
    <w:rsid w:val="00886AF4"/>
    <w:rsid w:val="00897829"/>
    <w:rsid w:val="008A1899"/>
    <w:rsid w:val="008A3E2F"/>
    <w:rsid w:val="008A4312"/>
    <w:rsid w:val="008A6A12"/>
    <w:rsid w:val="008B29EA"/>
    <w:rsid w:val="008B4649"/>
    <w:rsid w:val="008C1B66"/>
    <w:rsid w:val="008C3100"/>
    <w:rsid w:val="008C7569"/>
    <w:rsid w:val="008C79EC"/>
    <w:rsid w:val="008D2816"/>
    <w:rsid w:val="008D351A"/>
    <w:rsid w:val="008D39B7"/>
    <w:rsid w:val="008D50ED"/>
    <w:rsid w:val="008D5572"/>
    <w:rsid w:val="008D5953"/>
    <w:rsid w:val="008D725C"/>
    <w:rsid w:val="008E08A7"/>
    <w:rsid w:val="008E163D"/>
    <w:rsid w:val="008E2296"/>
    <w:rsid w:val="008E791D"/>
    <w:rsid w:val="008F55AB"/>
    <w:rsid w:val="008F6069"/>
    <w:rsid w:val="00901DC9"/>
    <w:rsid w:val="00904540"/>
    <w:rsid w:val="00905552"/>
    <w:rsid w:val="0090574C"/>
    <w:rsid w:val="0090641F"/>
    <w:rsid w:val="00906B91"/>
    <w:rsid w:val="00912D0F"/>
    <w:rsid w:val="00913DCE"/>
    <w:rsid w:val="009167AE"/>
    <w:rsid w:val="00917854"/>
    <w:rsid w:val="00922AD1"/>
    <w:rsid w:val="009363BE"/>
    <w:rsid w:val="00937210"/>
    <w:rsid w:val="0093744D"/>
    <w:rsid w:val="0094128E"/>
    <w:rsid w:val="00943EC5"/>
    <w:rsid w:val="00952A68"/>
    <w:rsid w:val="009549AD"/>
    <w:rsid w:val="00956F6E"/>
    <w:rsid w:val="009628C0"/>
    <w:rsid w:val="00965DF8"/>
    <w:rsid w:val="009677C1"/>
    <w:rsid w:val="00970C89"/>
    <w:rsid w:val="00972982"/>
    <w:rsid w:val="00973213"/>
    <w:rsid w:val="009803D6"/>
    <w:rsid w:val="0098087F"/>
    <w:rsid w:val="00987163"/>
    <w:rsid w:val="00987773"/>
    <w:rsid w:val="00987C82"/>
    <w:rsid w:val="00990E1C"/>
    <w:rsid w:val="0099367C"/>
    <w:rsid w:val="00994E75"/>
    <w:rsid w:val="00997476"/>
    <w:rsid w:val="009A0001"/>
    <w:rsid w:val="009B0321"/>
    <w:rsid w:val="009B47EA"/>
    <w:rsid w:val="009B52DC"/>
    <w:rsid w:val="009B5378"/>
    <w:rsid w:val="009B6152"/>
    <w:rsid w:val="009B6565"/>
    <w:rsid w:val="009C0959"/>
    <w:rsid w:val="009C1F1F"/>
    <w:rsid w:val="009C27F0"/>
    <w:rsid w:val="009C68FA"/>
    <w:rsid w:val="009D24D4"/>
    <w:rsid w:val="009F09FD"/>
    <w:rsid w:val="009F1650"/>
    <w:rsid w:val="009F4912"/>
    <w:rsid w:val="009F5365"/>
    <w:rsid w:val="009F53C0"/>
    <w:rsid w:val="009F6B33"/>
    <w:rsid w:val="009F7412"/>
    <w:rsid w:val="00A00B88"/>
    <w:rsid w:val="00A0119B"/>
    <w:rsid w:val="00A02EEF"/>
    <w:rsid w:val="00A03469"/>
    <w:rsid w:val="00A124B9"/>
    <w:rsid w:val="00A2164B"/>
    <w:rsid w:val="00A2312D"/>
    <w:rsid w:val="00A24407"/>
    <w:rsid w:val="00A268E2"/>
    <w:rsid w:val="00A309B8"/>
    <w:rsid w:val="00A43095"/>
    <w:rsid w:val="00A45EF9"/>
    <w:rsid w:val="00A5133F"/>
    <w:rsid w:val="00A53654"/>
    <w:rsid w:val="00A56B05"/>
    <w:rsid w:val="00A646D7"/>
    <w:rsid w:val="00A66950"/>
    <w:rsid w:val="00A67C09"/>
    <w:rsid w:val="00A721D8"/>
    <w:rsid w:val="00A7235D"/>
    <w:rsid w:val="00A75B7E"/>
    <w:rsid w:val="00A761C7"/>
    <w:rsid w:val="00A812B3"/>
    <w:rsid w:val="00A82A12"/>
    <w:rsid w:val="00A83F64"/>
    <w:rsid w:val="00A8750F"/>
    <w:rsid w:val="00AA7298"/>
    <w:rsid w:val="00AB3248"/>
    <w:rsid w:val="00AB731C"/>
    <w:rsid w:val="00AC0A04"/>
    <w:rsid w:val="00AC103C"/>
    <w:rsid w:val="00AC4023"/>
    <w:rsid w:val="00AC5701"/>
    <w:rsid w:val="00AC7958"/>
    <w:rsid w:val="00AD13C4"/>
    <w:rsid w:val="00AD6E74"/>
    <w:rsid w:val="00AE16F1"/>
    <w:rsid w:val="00AE45DB"/>
    <w:rsid w:val="00AE554A"/>
    <w:rsid w:val="00AE6B55"/>
    <w:rsid w:val="00AE73D5"/>
    <w:rsid w:val="00AF0724"/>
    <w:rsid w:val="00AF1DAB"/>
    <w:rsid w:val="00AF7217"/>
    <w:rsid w:val="00AF7C1C"/>
    <w:rsid w:val="00B02793"/>
    <w:rsid w:val="00B051B5"/>
    <w:rsid w:val="00B142BB"/>
    <w:rsid w:val="00B15F4B"/>
    <w:rsid w:val="00B16219"/>
    <w:rsid w:val="00B165D7"/>
    <w:rsid w:val="00B177AF"/>
    <w:rsid w:val="00B26A71"/>
    <w:rsid w:val="00B35AA9"/>
    <w:rsid w:val="00B365B4"/>
    <w:rsid w:val="00B42AE9"/>
    <w:rsid w:val="00B42D98"/>
    <w:rsid w:val="00B44DD5"/>
    <w:rsid w:val="00B45EC5"/>
    <w:rsid w:val="00B50D44"/>
    <w:rsid w:val="00B53A62"/>
    <w:rsid w:val="00B57496"/>
    <w:rsid w:val="00B6408D"/>
    <w:rsid w:val="00B65864"/>
    <w:rsid w:val="00B6683D"/>
    <w:rsid w:val="00B72132"/>
    <w:rsid w:val="00B738AB"/>
    <w:rsid w:val="00B743F3"/>
    <w:rsid w:val="00B74FDA"/>
    <w:rsid w:val="00B75873"/>
    <w:rsid w:val="00B7667B"/>
    <w:rsid w:val="00B7725C"/>
    <w:rsid w:val="00B77C41"/>
    <w:rsid w:val="00B80170"/>
    <w:rsid w:val="00B81669"/>
    <w:rsid w:val="00B82908"/>
    <w:rsid w:val="00B832AB"/>
    <w:rsid w:val="00B907B5"/>
    <w:rsid w:val="00B92FDE"/>
    <w:rsid w:val="00B9326A"/>
    <w:rsid w:val="00B94E09"/>
    <w:rsid w:val="00B96B38"/>
    <w:rsid w:val="00BA6DA0"/>
    <w:rsid w:val="00BB0F93"/>
    <w:rsid w:val="00BB180F"/>
    <w:rsid w:val="00BB75CF"/>
    <w:rsid w:val="00BC1BF8"/>
    <w:rsid w:val="00BC294E"/>
    <w:rsid w:val="00BC5961"/>
    <w:rsid w:val="00BC5F53"/>
    <w:rsid w:val="00BC78C6"/>
    <w:rsid w:val="00BD3F21"/>
    <w:rsid w:val="00BD6110"/>
    <w:rsid w:val="00BD7703"/>
    <w:rsid w:val="00BE0046"/>
    <w:rsid w:val="00BE01C2"/>
    <w:rsid w:val="00BE61B1"/>
    <w:rsid w:val="00BE6447"/>
    <w:rsid w:val="00BF31A7"/>
    <w:rsid w:val="00C0106C"/>
    <w:rsid w:val="00C01D97"/>
    <w:rsid w:val="00C021AB"/>
    <w:rsid w:val="00C07F6B"/>
    <w:rsid w:val="00C12095"/>
    <w:rsid w:val="00C15176"/>
    <w:rsid w:val="00C21C07"/>
    <w:rsid w:val="00C21EDE"/>
    <w:rsid w:val="00C24C8A"/>
    <w:rsid w:val="00C2506B"/>
    <w:rsid w:val="00C32A4C"/>
    <w:rsid w:val="00C33CA2"/>
    <w:rsid w:val="00C33CB5"/>
    <w:rsid w:val="00C3562D"/>
    <w:rsid w:val="00C36DC9"/>
    <w:rsid w:val="00C37063"/>
    <w:rsid w:val="00C40AAB"/>
    <w:rsid w:val="00C412EC"/>
    <w:rsid w:val="00C427AC"/>
    <w:rsid w:val="00C42E96"/>
    <w:rsid w:val="00C52947"/>
    <w:rsid w:val="00C641AD"/>
    <w:rsid w:val="00C669E0"/>
    <w:rsid w:val="00C67367"/>
    <w:rsid w:val="00C678FE"/>
    <w:rsid w:val="00C7423D"/>
    <w:rsid w:val="00C846FE"/>
    <w:rsid w:val="00C85F4A"/>
    <w:rsid w:val="00C92413"/>
    <w:rsid w:val="00C9432F"/>
    <w:rsid w:val="00C9768D"/>
    <w:rsid w:val="00CA0FAC"/>
    <w:rsid w:val="00CA1BFB"/>
    <w:rsid w:val="00CA2C4B"/>
    <w:rsid w:val="00CA2F44"/>
    <w:rsid w:val="00CA3924"/>
    <w:rsid w:val="00CA54CA"/>
    <w:rsid w:val="00CA667A"/>
    <w:rsid w:val="00CA6EFA"/>
    <w:rsid w:val="00CB12E0"/>
    <w:rsid w:val="00CB1ECA"/>
    <w:rsid w:val="00CB3F74"/>
    <w:rsid w:val="00CC0B11"/>
    <w:rsid w:val="00CC4291"/>
    <w:rsid w:val="00CC7B1C"/>
    <w:rsid w:val="00CC7E18"/>
    <w:rsid w:val="00CD2279"/>
    <w:rsid w:val="00CD42C3"/>
    <w:rsid w:val="00CE086C"/>
    <w:rsid w:val="00CE26BF"/>
    <w:rsid w:val="00CE2AA3"/>
    <w:rsid w:val="00CE38B9"/>
    <w:rsid w:val="00CE3C33"/>
    <w:rsid w:val="00CE4C49"/>
    <w:rsid w:val="00CE70E8"/>
    <w:rsid w:val="00CF4B24"/>
    <w:rsid w:val="00CF4C68"/>
    <w:rsid w:val="00CF7DA5"/>
    <w:rsid w:val="00D01934"/>
    <w:rsid w:val="00D06808"/>
    <w:rsid w:val="00D102C7"/>
    <w:rsid w:val="00D10FF4"/>
    <w:rsid w:val="00D16145"/>
    <w:rsid w:val="00D175B7"/>
    <w:rsid w:val="00D2315A"/>
    <w:rsid w:val="00D34E96"/>
    <w:rsid w:val="00D356F8"/>
    <w:rsid w:val="00D417D6"/>
    <w:rsid w:val="00D425F2"/>
    <w:rsid w:val="00D435F1"/>
    <w:rsid w:val="00D441A7"/>
    <w:rsid w:val="00D452AE"/>
    <w:rsid w:val="00D50FF0"/>
    <w:rsid w:val="00D66537"/>
    <w:rsid w:val="00D70581"/>
    <w:rsid w:val="00D72330"/>
    <w:rsid w:val="00D74B26"/>
    <w:rsid w:val="00D82F72"/>
    <w:rsid w:val="00D83380"/>
    <w:rsid w:val="00D83D2F"/>
    <w:rsid w:val="00D928F8"/>
    <w:rsid w:val="00D92BBC"/>
    <w:rsid w:val="00D93150"/>
    <w:rsid w:val="00D93D0D"/>
    <w:rsid w:val="00D95AA2"/>
    <w:rsid w:val="00D96898"/>
    <w:rsid w:val="00D96D05"/>
    <w:rsid w:val="00DA514E"/>
    <w:rsid w:val="00DA589B"/>
    <w:rsid w:val="00DA676F"/>
    <w:rsid w:val="00DB4482"/>
    <w:rsid w:val="00DB634B"/>
    <w:rsid w:val="00DC0050"/>
    <w:rsid w:val="00DC0199"/>
    <w:rsid w:val="00DC1CAD"/>
    <w:rsid w:val="00DC7A9D"/>
    <w:rsid w:val="00DD09DB"/>
    <w:rsid w:val="00DD1729"/>
    <w:rsid w:val="00DD3B24"/>
    <w:rsid w:val="00DD77F0"/>
    <w:rsid w:val="00DD7C30"/>
    <w:rsid w:val="00DE3AB8"/>
    <w:rsid w:val="00DF4DBC"/>
    <w:rsid w:val="00E01F5B"/>
    <w:rsid w:val="00E07DBB"/>
    <w:rsid w:val="00E125EC"/>
    <w:rsid w:val="00E13DAF"/>
    <w:rsid w:val="00E14A3B"/>
    <w:rsid w:val="00E1698D"/>
    <w:rsid w:val="00E22F9D"/>
    <w:rsid w:val="00E25FCD"/>
    <w:rsid w:val="00E3066C"/>
    <w:rsid w:val="00E30DE8"/>
    <w:rsid w:val="00E45C31"/>
    <w:rsid w:val="00E46052"/>
    <w:rsid w:val="00E5122E"/>
    <w:rsid w:val="00E516BC"/>
    <w:rsid w:val="00E5704B"/>
    <w:rsid w:val="00E57801"/>
    <w:rsid w:val="00E65313"/>
    <w:rsid w:val="00E65F61"/>
    <w:rsid w:val="00E66CFB"/>
    <w:rsid w:val="00E72612"/>
    <w:rsid w:val="00E72DD6"/>
    <w:rsid w:val="00E73DE7"/>
    <w:rsid w:val="00E75436"/>
    <w:rsid w:val="00E778B5"/>
    <w:rsid w:val="00E81D54"/>
    <w:rsid w:val="00E838ED"/>
    <w:rsid w:val="00E85295"/>
    <w:rsid w:val="00E8726E"/>
    <w:rsid w:val="00E90421"/>
    <w:rsid w:val="00E906E9"/>
    <w:rsid w:val="00E91987"/>
    <w:rsid w:val="00E941A7"/>
    <w:rsid w:val="00E941D0"/>
    <w:rsid w:val="00EA2F91"/>
    <w:rsid w:val="00EA3405"/>
    <w:rsid w:val="00EB1195"/>
    <w:rsid w:val="00EB12CA"/>
    <w:rsid w:val="00EB1708"/>
    <w:rsid w:val="00EB1DCE"/>
    <w:rsid w:val="00EB4C88"/>
    <w:rsid w:val="00EB5B77"/>
    <w:rsid w:val="00EB5B86"/>
    <w:rsid w:val="00EB6372"/>
    <w:rsid w:val="00EB6A55"/>
    <w:rsid w:val="00EC27D9"/>
    <w:rsid w:val="00EC37E3"/>
    <w:rsid w:val="00EC5299"/>
    <w:rsid w:val="00EC705B"/>
    <w:rsid w:val="00ED3649"/>
    <w:rsid w:val="00ED645F"/>
    <w:rsid w:val="00ED6BC8"/>
    <w:rsid w:val="00EE0434"/>
    <w:rsid w:val="00EE0481"/>
    <w:rsid w:val="00EE1F0C"/>
    <w:rsid w:val="00EF1BFA"/>
    <w:rsid w:val="00EF40BA"/>
    <w:rsid w:val="00F036E4"/>
    <w:rsid w:val="00F06F3B"/>
    <w:rsid w:val="00F126B3"/>
    <w:rsid w:val="00F13AD5"/>
    <w:rsid w:val="00F13D85"/>
    <w:rsid w:val="00F15000"/>
    <w:rsid w:val="00F257E9"/>
    <w:rsid w:val="00F25CC7"/>
    <w:rsid w:val="00F3795E"/>
    <w:rsid w:val="00F408A6"/>
    <w:rsid w:val="00F42EB9"/>
    <w:rsid w:val="00F43291"/>
    <w:rsid w:val="00F454BD"/>
    <w:rsid w:val="00F523E6"/>
    <w:rsid w:val="00F54F43"/>
    <w:rsid w:val="00F5718C"/>
    <w:rsid w:val="00F609E1"/>
    <w:rsid w:val="00F61204"/>
    <w:rsid w:val="00F63EDE"/>
    <w:rsid w:val="00F64281"/>
    <w:rsid w:val="00F64933"/>
    <w:rsid w:val="00F7199F"/>
    <w:rsid w:val="00F73B70"/>
    <w:rsid w:val="00F73E4C"/>
    <w:rsid w:val="00F7439D"/>
    <w:rsid w:val="00F7514B"/>
    <w:rsid w:val="00F82A76"/>
    <w:rsid w:val="00F82FE2"/>
    <w:rsid w:val="00F8486E"/>
    <w:rsid w:val="00F85F08"/>
    <w:rsid w:val="00F8709D"/>
    <w:rsid w:val="00F908EB"/>
    <w:rsid w:val="00F924A5"/>
    <w:rsid w:val="00F94E17"/>
    <w:rsid w:val="00FA13E7"/>
    <w:rsid w:val="00FA30C8"/>
    <w:rsid w:val="00FA3453"/>
    <w:rsid w:val="00FA4212"/>
    <w:rsid w:val="00FB0E12"/>
    <w:rsid w:val="00FB2549"/>
    <w:rsid w:val="00FB3653"/>
    <w:rsid w:val="00FB3773"/>
    <w:rsid w:val="00FB3A27"/>
    <w:rsid w:val="00FB4899"/>
    <w:rsid w:val="00FB4EB0"/>
    <w:rsid w:val="00FC4120"/>
    <w:rsid w:val="00FC7D23"/>
    <w:rsid w:val="00FE211E"/>
    <w:rsid w:val="00FE263D"/>
    <w:rsid w:val="00FE4089"/>
    <w:rsid w:val="00FE563A"/>
    <w:rsid w:val="00FE59C4"/>
    <w:rsid w:val="00FE5AD6"/>
    <w:rsid w:val="00FE7315"/>
    <w:rsid w:val="00FF414F"/>
    <w:rsid w:val="00FF5592"/>
    <w:rsid w:val="00FF5782"/>
    <w:rsid w:val="0105BDDB"/>
    <w:rsid w:val="012FE0AB"/>
    <w:rsid w:val="041CD37F"/>
    <w:rsid w:val="0801743C"/>
    <w:rsid w:val="0A33DAF4"/>
    <w:rsid w:val="0A53E756"/>
    <w:rsid w:val="0AF7E4E8"/>
    <w:rsid w:val="0BF04F77"/>
    <w:rsid w:val="1567BF29"/>
    <w:rsid w:val="1E5815DA"/>
    <w:rsid w:val="2162C022"/>
    <w:rsid w:val="243E876F"/>
    <w:rsid w:val="253CD7E1"/>
    <w:rsid w:val="2647CC02"/>
    <w:rsid w:val="2665FAE6"/>
    <w:rsid w:val="26A7551B"/>
    <w:rsid w:val="26FA9C66"/>
    <w:rsid w:val="2BD81DF7"/>
    <w:rsid w:val="2CEEC68A"/>
    <w:rsid w:val="307509DD"/>
    <w:rsid w:val="3563F799"/>
    <w:rsid w:val="3D70ADD8"/>
    <w:rsid w:val="3F598803"/>
    <w:rsid w:val="3F6698ED"/>
    <w:rsid w:val="410732B5"/>
    <w:rsid w:val="415A9FE3"/>
    <w:rsid w:val="41FD3837"/>
    <w:rsid w:val="42CC1F11"/>
    <w:rsid w:val="42DCEA25"/>
    <w:rsid w:val="43D717E6"/>
    <w:rsid w:val="4567CE02"/>
    <w:rsid w:val="4613A1A4"/>
    <w:rsid w:val="5159F691"/>
    <w:rsid w:val="5224164E"/>
    <w:rsid w:val="5AB9ECB8"/>
    <w:rsid w:val="5CE05AED"/>
    <w:rsid w:val="603EB788"/>
    <w:rsid w:val="60769866"/>
    <w:rsid w:val="62175861"/>
    <w:rsid w:val="641D1C0C"/>
    <w:rsid w:val="655CFAE9"/>
    <w:rsid w:val="69E7F98B"/>
    <w:rsid w:val="70D91FD5"/>
    <w:rsid w:val="72B83911"/>
    <w:rsid w:val="766EBCC2"/>
    <w:rsid w:val="798393C4"/>
    <w:rsid w:val="7C71D750"/>
    <w:rsid w:val="7F4261E6"/>
    <w:rsid w:val="7F8D71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944F7"/>
  <w15:docId w15:val="{A1132AFD-A59B-45AC-B925-FD41A0DE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15BDD"/>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autoRedefine/>
    <w:uiPriority w:val="3"/>
    <w:qFormat/>
    <w:rsid w:val="002A7E93"/>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autoRedefine/>
    <w:uiPriority w:val="5"/>
    <w:qFormat/>
    <w:rsid w:val="006E7F3A"/>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autoRedefine/>
    <w:uiPriority w:val="6"/>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8"/>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A7E93"/>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F64933"/>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6E7F3A"/>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10"/>
    <w:qFormat/>
    <w:rsid w:val="00F64933"/>
    <w:pPr>
      <w:numPr>
        <w:numId w:val="2"/>
      </w:numPr>
      <w:autoSpaceDE w:val="0"/>
      <w:autoSpaceDN w:val="0"/>
      <w:adjustRightInd w:val="0"/>
      <w:spacing w:after="50"/>
      <w:ind w:left="851" w:hanging="284"/>
      <w:textboxTightWrap w:val="none"/>
    </w:pPr>
    <w:rPr>
      <w:rFonts w:cs="FrutigerLTStd-Light"/>
      <w:szCs w:val="22"/>
    </w:rPr>
  </w:style>
  <w:style w:type="character" w:customStyle="1" w:styleId="BulletlistChar">
    <w:name w:val="Bullet list Char"/>
    <w:basedOn w:val="DefaultParagraphFont"/>
    <w:link w:val="Bulletlist"/>
    <w:uiPriority w:val="10"/>
    <w:rsid w:val="00F6493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E57B6"/>
    <w:pPr>
      <w:pBdr>
        <w:bottom w:val="single" w:sz="4" w:space="4" w:color="D5DDE3" w:themeColor="accent6" w:themeTint="33"/>
      </w:pBdr>
      <w:tabs>
        <w:tab w:val="right" w:pos="9854"/>
      </w:tabs>
      <w:spacing w:before="120" w:after="12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autoRedefine/>
    <w:uiPriority w:val="9"/>
    <w:qFormat/>
    <w:rsid w:val="00F64933"/>
    <w:pPr>
      <w:numPr>
        <w:numId w:val="3"/>
      </w:numPr>
      <w:spacing w:after="50"/>
      <w:ind w:left="992" w:hanging="425"/>
    </w:pPr>
  </w:style>
  <w:style w:type="character" w:customStyle="1" w:styleId="NumberedlistChar">
    <w:name w:val="Numbered list Char"/>
    <w:basedOn w:val="DefaultParagraphFont"/>
    <w:link w:val="Numberedlist"/>
    <w:uiPriority w:val="9"/>
    <w:rsid w:val="00F64933"/>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4"/>
      </w:numPr>
    </w:pPr>
  </w:style>
  <w:style w:type="paragraph" w:customStyle="1" w:styleId="h3numbered">
    <w:name w:val="h3 numbered"/>
    <w:basedOn w:val="Heading3"/>
    <w:link w:val="h3numberedChar"/>
    <w:uiPriority w:val="6"/>
    <w:qFormat/>
    <w:rsid w:val="00C15176"/>
    <w:pPr>
      <w:numPr>
        <w:ilvl w:val="1"/>
        <w:numId w:val="4"/>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4"/>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4"/>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4"/>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4"/>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4"/>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8D50ED"/>
    <w:pPr>
      <w:spacing w:before="120" w:after="120" w:line="240" w:lineRule="auto"/>
    </w:pPr>
    <w:rPr>
      <w:iCs/>
      <w:color w:val="005EB8" w:themeColor="text2"/>
      <w:sz w:val="20"/>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customStyle="1" w:styleId="CommentTextChar">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paragraph" w:styleId="BodyText">
    <w:name w:val="Body Text"/>
    <w:basedOn w:val="Normal"/>
    <w:link w:val="BodyTextChar"/>
    <w:uiPriority w:val="99"/>
    <w:unhideWhenUsed/>
    <w:rsid w:val="00E65313"/>
    <w:pPr>
      <w:spacing w:after="120" w:line="264" w:lineRule="auto"/>
    </w:pPr>
    <w:rPr>
      <w:color w:val="425563" w:themeColor="accent6"/>
    </w:rPr>
  </w:style>
  <w:style w:type="character" w:customStyle="1" w:styleId="BodyTextChar">
    <w:name w:val="Body Text Char"/>
    <w:basedOn w:val="DefaultParagraphFont"/>
    <w:link w:val="BodyText"/>
    <w:uiPriority w:val="99"/>
    <w:rsid w:val="00E65313"/>
    <w:rPr>
      <w:rFonts w:ascii="Arial" w:hAnsi="Arial"/>
      <w:color w:val="425563" w:themeColor="accent6"/>
      <w:sz w:val="24"/>
      <w:szCs w:val="24"/>
    </w:rPr>
  </w:style>
  <w:style w:type="paragraph" w:customStyle="1" w:styleId="NumberedHeading1">
    <w:name w:val="Numbered Heading 1"/>
    <w:basedOn w:val="Heading2"/>
    <w:next w:val="BodyText"/>
    <w:autoRedefine/>
    <w:uiPriority w:val="9"/>
    <w:qFormat/>
    <w:rsid w:val="00E65313"/>
    <w:pPr>
      <w:keepNext w:val="0"/>
      <w:keepLines/>
      <w:numPr>
        <w:numId w:val="5"/>
      </w:numPr>
      <w:tabs>
        <w:tab w:val="clear" w:pos="5963"/>
      </w:tabs>
      <w:spacing w:after="180" w:line="264" w:lineRule="auto"/>
      <w:contextualSpacing/>
    </w:pPr>
    <w:rPr>
      <w:rFonts w:ascii="Arial" w:eastAsiaTheme="majorEastAsia" w:hAnsi="Arial" w:cs="Arial (Headings CS)"/>
      <w:color w:val="231F20" w:themeColor="background1"/>
      <w:szCs w:val="32"/>
    </w:rPr>
  </w:style>
  <w:style w:type="paragraph" w:customStyle="1" w:styleId="NumberedHeading2">
    <w:name w:val="Numbered Heading 2"/>
    <w:basedOn w:val="Heading3"/>
    <w:next w:val="BodyText"/>
    <w:autoRedefine/>
    <w:uiPriority w:val="9"/>
    <w:qFormat/>
    <w:rsid w:val="002313D4"/>
    <w:pPr>
      <w:keepLines/>
      <w:numPr>
        <w:ilvl w:val="1"/>
        <w:numId w:val="5"/>
      </w:numPr>
      <w:spacing w:before="120" w:after="120" w:line="264" w:lineRule="auto"/>
      <w:ind w:hanging="567"/>
    </w:pPr>
    <w:rPr>
      <w:rFonts w:eastAsiaTheme="majorEastAsia" w:cs="Arial (Headings CS)"/>
      <w:b/>
      <w:szCs w:val="26"/>
    </w:rPr>
  </w:style>
  <w:style w:type="paragraph" w:customStyle="1" w:styleId="NumberedHeading3">
    <w:name w:val="Numbered Heading 3"/>
    <w:basedOn w:val="Heading4"/>
    <w:next w:val="BodyText"/>
    <w:autoRedefine/>
    <w:uiPriority w:val="9"/>
    <w:qFormat/>
    <w:rsid w:val="001124EC"/>
    <w:pPr>
      <w:keepLines/>
      <w:numPr>
        <w:ilvl w:val="2"/>
        <w:numId w:val="5"/>
      </w:numPr>
      <w:spacing w:before="120" w:after="120" w:line="264" w:lineRule="auto"/>
    </w:pPr>
    <w:rPr>
      <w:rFonts w:eastAsiaTheme="majorEastAsia" w:cs="Arial (Headings CS)"/>
      <w:color w:val="231F20"/>
      <w:kern w:val="0"/>
      <w14:ligatures w14:val="none"/>
    </w:rPr>
  </w:style>
  <w:style w:type="numbering" w:customStyle="1" w:styleId="NHSHeadings">
    <w:name w:val="NHS Headings"/>
    <w:basedOn w:val="NoList"/>
    <w:uiPriority w:val="99"/>
    <w:rsid w:val="00E65313"/>
    <w:pPr>
      <w:numPr>
        <w:numId w:val="5"/>
      </w:numPr>
    </w:pPr>
  </w:style>
  <w:style w:type="character" w:customStyle="1" w:styleId="normaltextrun">
    <w:name w:val="normaltextrun"/>
    <w:basedOn w:val="DefaultParagraphFont"/>
    <w:rsid w:val="00BD3F21"/>
  </w:style>
  <w:style w:type="character" w:customStyle="1" w:styleId="eop">
    <w:name w:val="eop"/>
    <w:basedOn w:val="DefaultParagraphFont"/>
    <w:rsid w:val="00550CE1"/>
  </w:style>
  <w:style w:type="table" w:customStyle="1" w:styleId="TableGrid1">
    <w:name w:val="Table Grid1"/>
    <w:basedOn w:val="TableNormal"/>
    <w:next w:val="TableGrid"/>
    <w:uiPriority w:val="59"/>
    <w:rsid w:val="00775600"/>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91F5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64281"/>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17692B"/>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54789F"/>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113B61"/>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C33CB5"/>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B29EA"/>
    <w:pPr>
      <w:spacing w:before="100" w:beforeAutospacing="1" w:after="100" w:afterAutospacing="1" w:line="240" w:lineRule="auto"/>
      <w:textboxTightWrap w:val="none"/>
    </w:pPr>
    <w:rPr>
      <w:rFonts w:ascii="Times New Roman" w:hAnsi="Times New Roman"/>
      <w:color w:val="auto"/>
      <w:lang w:eastAsia="en-GB"/>
    </w:rPr>
  </w:style>
  <w:style w:type="character" w:styleId="UnresolvedMention">
    <w:name w:val="Unresolved Mention"/>
    <w:basedOn w:val="DefaultParagraphFont"/>
    <w:uiPriority w:val="99"/>
    <w:semiHidden/>
    <w:unhideWhenUsed/>
    <w:rsid w:val="00813875"/>
    <w:rPr>
      <w:color w:val="605E5C"/>
      <w:shd w:val="clear" w:color="auto" w:fill="E1DFDD"/>
    </w:rPr>
  </w:style>
  <w:style w:type="character" w:styleId="FollowedHyperlink">
    <w:name w:val="FollowedHyperlink"/>
    <w:basedOn w:val="DefaultParagraphFont"/>
    <w:uiPriority w:val="99"/>
    <w:semiHidden/>
    <w:unhideWhenUsed/>
    <w:rsid w:val="00045EE5"/>
    <w:rPr>
      <w:color w:val="003087" w:themeColor="followedHyperlink"/>
      <w:u w:val="single"/>
    </w:rPr>
  </w:style>
  <w:style w:type="paragraph" w:customStyle="1" w:styleId="xxmsonormal">
    <w:name w:val="x_xmsonormal"/>
    <w:basedOn w:val="Normal"/>
    <w:rsid w:val="001823A9"/>
    <w:pPr>
      <w:spacing w:after="0" w:line="240" w:lineRule="auto"/>
      <w:textboxTightWrap w:val="none"/>
    </w:pPr>
    <w:rPr>
      <w:rFonts w:ascii="Calibri" w:eastAsiaTheme="minorHAnsi" w:hAnsi="Calibri" w:cs="Calibri"/>
      <w:color w:val="auto"/>
      <w:sz w:val="22"/>
      <w:szCs w:val="22"/>
      <w:lang w:eastAsia="en-GB"/>
    </w:rPr>
  </w:style>
  <w:style w:type="paragraph" w:styleId="Revision">
    <w:name w:val="Revision"/>
    <w:hidden/>
    <w:uiPriority w:val="99"/>
    <w:semiHidden/>
    <w:rsid w:val="00160612"/>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7133">
      <w:bodyDiv w:val="1"/>
      <w:marLeft w:val="0"/>
      <w:marRight w:val="0"/>
      <w:marTop w:val="0"/>
      <w:marBottom w:val="0"/>
      <w:divBdr>
        <w:top w:val="none" w:sz="0" w:space="0" w:color="auto"/>
        <w:left w:val="none" w:sz="0" w:space="0" w:color="auto"/>
        <w:bottom w:val="none" w:sz="0" w:space="0" w:color="auto"/>
        <w:right w:val="none" w:sz="0" w:space="0" w:color="auto"/>
      </w:divBdr>
      <w:divsChild>
        <w:div w:id="264700538">
          <w:marLeft w:val="547"/>
          <w:marRight w:val="0"/>
          <w:marTop w:val="96"/>
          <w:marBottom w:val="0"/>
          <w:divBdr>
            <w:top w:val="none" w:sz="0" w:space="0" w:color="auto"/>
            <w:left w:val="none" w:sz="0" w:space="0" w:color="auto"/>
            <w:bottom w:val="none" w:sz="0" w:space="0" w:color="auto"/>
            <w:right w:val="none" w:sz="0" w:space="0" w:color="auto"/>
          </w:divBdr>
        </w:div>
      </w:divsChild>
    </w:div>
    <w:div w:id="330453723">
      <w:bodyDiv w:val="1"/>
      <w:marLeft w:val="0"/>
      <w:marRight w:val="0"/>
      <w:marTop w:val="0"/>
      <w:marBottom w:val="0"/>
      <w:divBdr>
        <w:top w:val="none" w:sz="0" w:space="0" w:color="auto"/>
        <w:left w:val="none" w:sz="0" w:space="0" w:color="auto"/>
        <w:bottom w:val="none" w:sz="0" w:space="0" w:color="auto"/>
        <w:right w:val="none" w:sz="0" w:space="0" w:color="auto"/>
      </w:divBdr>
    </w:div>
    <w:div w:id="407728321">
      <w:bodyDiv w:val="1"/>
      <w:marLeft w:val="0"/>
      <w:marRight w:val="0"/>
      <w:marTop w:val="0"/>
      <w:marBottom w:val="0"/>
      <w:divBdr>
        <w:top w:val="none" w:sz="0" w:space="0" w:color="auto"/>
        <w:left w:val="none" w:sz="0" w:space="0" w:color="auto"/>
        <w:bottom w:val="none" w:sz="0" w:space="0" w:color="auto"/>
        <w:right w:val="none" w:sz="0" w:space="0" w:color="auto"/>
      </w:divBdr>
      <w:divsChild>
        <w:div w:id="574707047">
          <w:marLeft w:val="907"/>
          <w:marRight w:val="0"/>
          <w:marTop w:val="96"/>
          <w:marBottom w:val="0"/>
          <w:divBdr>
            <w:top w:val="none" w:sz="0" w:space="0" w:color="auto"/>
            <w:left w:val="none" w:sz="0" w:space="0" w:color="auto"/>
            <w:bottom w:val="none" w:sz="0" w:space="0" w:color="auto"/>
            <w:right w:val="none" w:sz="0" w:space="0" w:color="auto"/>
          </w:divBdr>
        </w:div>
        <w:div w:id="628701592">
          <w:marLeft w:val="907"/>
          <w:marRight w:val="0"/>
          <w:marTop w:val="96"/>
          <w:marBottom w:val="0"/>
          <w:divBdr>
            <w:top w:val="none" w:sz="0" w:space="0" w:color="auto"/>
            <w:left w:val="none" w:sz="0" w:space="0" w:color="auto"/>
            <w:bottom w:val="none" w:sz="0" w:space="0" w:color="auto"/>
            <w:right w:val="none" w:sz="0" w:space="0" w:color="auto"/>
          </w:divBdr>
        </w:div>
      </w:divsChild>
    </w:div>
    <w:div w:id="678967953">
      <w:bodyDiv w:val="1"/>
      <w:marLeft w:val="0"/>
      <w:marRight w:val="0"/>
      <w:marTop w:val="0"/>
      <w:marBottom w:val="0"/>
      <w:divBdr>
        <w:top w:val="none" w:sz="0" w:space="0" w:color="auto"/>
        <w:left w:val="none" w:sz="0" w:space="0" w:color="auto"/>
        <w:bottom w:val="none" w:sz="0" w:space="0" w:color="auto"/>
        <w:right w:val="none" w:sz="0" w:space="0" w:color="auto"/>
      </w:divBdr>
    </w:div>
    <w:div w:id="1222911755">
      <w:bodyDiv w:val="1"/>
      <w:marLeft w:val="0"/>
      <w:marRight w:val="0"/>
      <w:marTop w:val="0"/>
      <w:marBottom w:val="0"/>
      <w:divBdr>
        <w:top w:val="none" w:sz="0" w:space="0" w:color="auto"/>
        <w:left w:val="none" w:sz="0" w:space="0" w:color="auto"/>
        <w:bottom w:val="none" w:sz="0" w:space="0" w:color="auto"/>
        <w:right w:val="none" w:sz="0" w:space="0" w:color="auto"/>
      </w:divBdr>
    </w:div>
    <w:div w:id="1231304113">
      <w:bodyDiv w:val="1"/>
      <w:marLeft w:val="0"/>
      <w:marRight w:val="0"/>
      <w:marTop w:val="0"/>
      <w:marBottom w:val="0"/>
      <w:divBdr>
        <w:top w:val="none" w:sz="0" w:space="0" w:color="auto"/>
        <w:left w:val="none" w:sz="0" w:space="0" w:color="auto"/>
        <w:bottom w:val="none" w:sz="0" w:space="0" w:color="auto"/>
        <w:right w:val="none" w:sz="0" w:space="0" w:color="auto"/>
      </w:divBdr>
      <w:divsChild>
        <w:div w:id="247009785">
          <w:marLeft w:val="907"/>
          <w:marRight w:val="0"/>
          <w:marTop w:val="96"/>
          <w:marBottom w:val="0"/>
          <w:divBdr>
            <w:top w:val="none" w:sz="0" w:space="0" w:color="auto"/>
            <w:left w:val="none" w:sz="0" w:space="0" w:color="auto"/>
            <w:bottom w:val="none" w:sz="0" w:space="0" w:color="auto"/>
            <w:right w:val="none" w:sz="0" w:space="0" w:color="auto"/>
          </w:divBdr>
        </w:div>
        <w:div w:id="1593469114">
          <w:marLeft w:val="907"/>
          <w:marRight w:val="0"/>
          <w:marTop w:val="96"/>
          <w:marBottom w:val="0"/>
          <w:divBdr>
            <w:top w:val="none" w:sz="0" w:space="0" w:color="auto"/>
            <w:left w:val="none" w:sz="0" w:space="0" w:color="auto"/>
            <w:bottom w:val="none" w:sz="0" w:space="0" w:color="auto"/>
            <w:right w:val="none" w:sz="0" w:space="0" w:color="auto"/>
          </w:divBdr>
        </w:div>
      </w:divsChild>
    </w:div>
    <w:div w:id="1758822273">
      <w:bodyDiv w:val="1"/>
      <w:marLeft w:val="0"/>
      <w:marRight w:val="0"/>
      <w:marTop w:val="0"/>
      <w:marBottom w:val="0"/>
      <w:divBdr>
        <w:top w:val="none" w:sz="0" w:space="0" w:color="auto"/>
        <w:left w:val="none" w:sz="0" w:space="0" w:color="auto"/>
        <w:bottom w:val="none" w:sz="0" w:space="0" w:color="auto"/>
        <w:right w:val="none" w:sz="0" w:space="0" w:color="auto"/>
      </w:divBdr>
    </w:div>
    <w:div w:id="19724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cmedsci.ac.uk/file-download/34676-Guideli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ihr.ac.uk/career-development/research-career-funding-programmes/postdoctoral/clinical-lectureshi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opmed.org.uk/publications/gold-guide/gold-guide-10th-edit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bma.org.uk/media/1985/code-of-practice-2017.pdf" TargetMode="External"/><Relationship Id="rId20" Type="http://schemas.openxmlformats.org/officeDocument/2006/relationships/hyperlink" Target="https://www.nihr.ac.uk/career-development/research-career-funding-programmes/predoctoral/academic-clinical-fellow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ihr.ac.uk/extension-process-clinical-lectureship-po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Robb\OneDrive%20-%20Health%20Education%20England\Desktop\SOP%20or%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4F878148274E258DFF639C4832FE2D"/>
        <w:category>
          <w:name w:val="General"/>
          <w:gallery w:val="placeholder"/>
        </w:category>
        <w:types>
          <w:type w:val="bbPlcHdr"/>
        </w:types>
        <w:behaviors>
          <w:behavior w:val="content"/>
        </w:behaviors>
        <w:guid w:val="{BE768959-8B33-4C18-BE86-40DECBF312D3}"/>
      </w:docPartPr>
      <w:docPartBody>
        <w:p w:rsidR="00844B08" w:rsidRDefault="007D749D">
          <w:pPr>
            <w:pStyle w:val="B04F878148274E258DFF639C4832FE2D"/>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08"/>
    <w:rsid w:val="000627D2"/>
    <w:rsid w:val="0011000F"/>
    <w:rsid w:val="001D64CF"/>
    <w:rsid w:val="00271EEC"/>
    <w:rsid w:val="002C2415"/>
    <w:rsid w:val="002F7909"/>
    <w:rsid w:val="0037674E"/>
    <w:rsid w:val="003838B7"/>
    <w:rsid w:val="003C7E87"/>
    <w:rsid w:val="004E1F92"/>
    <w:rsid w:val="00537242"/>
    <w:rsid w:val="00580E82"/>
    <w:rsid w:val="005E6508"/>
    <w:rsid w:val="007A1FB4"/>
    <w:rsid w:val="007D749D"/>
    <w:rsid w:val="00836FCA"/>
    <w:rsid w:val="00844B08"/>
    <w:rsid w:val="00865995"/>
    <w:rsid w:val="00876927"/>
    <w:rsid w:val="0092122C"/>
    <w:rsid w:val="00A5133F"/>
    <w:rsid w:val="00B50D44"/>
    <w:rsid w:val="00C33CA2"/>
    <w:rsid w:val="00CF4B24"/>
    <w:rsid w:val="00D71C10"/>
    <w:rsid w:val="00D95AA2"/>
    <w:rsid w:val="00DB0F84"/>
    <w:rsid w:val="00DB4482"/>
    <w:rsid w:val="00E46052"/>
    <w:rsid w:val="00FF5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4F878148274E258DFF639C4832FE2D">
    <w:name w:val="B04F878148274E258DFF639C4832F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FDCC6AEAB3D40904E4423124DAD82" ma:contentTypeVersion="22" ma:contentTypeDescription="Create a new document." ma:contentTypeScope="" ma:versionID="62e3c24a3410b6fd954368a6620d8260">
  <xsd:schema xmlns:xsd="http://www.w3.org/2001/XMLSchema" xmlns:xs="http://www.w3.org/2001/XMLSchema" xmlns:p="http://schemas.microsoft.com/office/2006/metadata/properties" xmlns:ns2="358a613e-fdd4-48b2-97a7-1943b15f8af0" xmlns:ns3="6ae39060-2231-423e-b8e4-c839774b5994" targetNamespace="http://schemas.microsoft.com/office/2006/metadata/properties" ma:root="true" ma:fieldsID="86d8ac0f949aa2c93e1713fef2ba257e" ns2:_="" ns3:_="">
    <xsd:import namespace="358a613e-fdd4-48b2-97a7-1943b15f8af0"/>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a613e-fdd4-48b2-97a7-1943b15f8af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1159C-7EB8-40C2-8383-6EA011BD6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a613e-fdd4-48b2-97a7-1943b15f8af0"/>
    <ds:schemaRef ds:uri="6ae39060-2231-423e-b8e4-c839774b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SOP or Policy Template</Template>
  <TotalTime>0</TotalTime>
  <Pages>9</Pages>
  <Words>2148</Words>
  <Characters>12250</Characters>
  <Application>Microsoft Office Word</Application>
  <DocSecurity>4</DocSecurity>
  <Lines>102</Lines>
  <Paragraphs>28</Paragraphs>
  <ScaleCrop>false</ScaleCrop>
  <Company>Health &amp; Social Care Information Centre</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Zoe Robb</dc:creator>
  <cp:keywords/>
  <cp:lastModifiedBy>KOZIOL, Naomi (NHS ENGLAND)</cp:lastModifiedBy>
  <cp:revision>2</cp:revision>
  <cp:lastPrinted>2016-07-14T09:27:00Z</cp:lastPrinted>
  <dcterms:created xsi:type="dcterms:W3CDTF">2025-09-26T10:25:00Z</dcterms:created>
  <dcterms:modified xsi:type="dcterms:W3CDTF">2025-09-26T10:25:00Z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0x010100952FDCC6AEAB3D40904E4423124DAD82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